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line="360" w:lineRule="auto"/>
        <w:ind w:left="2160" w:hanging="2160"/>
        <w:outlineLvl w:val="0"/>
        <w:rPr>
          <w:rFonts w:ascii="Times New Roman" w:cs="Times New Roman" w:hAnsi="Times New Roman" w:eastAsia="Times New Roman"/>
        </w:rPr>
      </w:pPr>
      <w:r>
        <w:rPr>
          <w:rFonts w:ascii="Times New Roman" w:hAnsi="Times New Roman"/>
          <w:rtl w:val="0"/>
          <w:lang w:val="en-US"/>
        </w:rPr>
        <w:t>Forum:</w:t>
        <w:tab/>
        <w:t>United Nations Economic and Social Council (ECOSOC)</w:t>
      </w:r>
    </w:p>
    <w:p>
      <w:pPr>
        <w:pStyle w:val="Body"/>
        <w:spacing w:line="360" w:lineRule="auto"/>
        <w:ind w:left="2160" w:hanging="2160"/>
        <w:rPr>
          <w:rFonts w:ascii="Times New Roman" w:cs="Times New Roman" w:hAnsi="Times New Roman" w:eastAsia="Times New Roman"/>
          <w:b w:val="1"/>
          <w:bCs w:val="1"/>
          <w:sz w:val="26"/>
          <w:szCs w:val="26"/>
        </w:rPr>
      </w:pPr>
      <w:r>
        <w:rPr>
          <w:rFonts w:ascii="Times New Roman" w:hAnsi="Times New Roman"/>
          <w:rtl w:val="0"/>
          <w:lang w:val="en-US"/>
        </w:rPr>
        <w:t>Issue:</w:t>
        <w:tab/>
        <w:t>Ensuring economic diversification in oil-dependent economies</w:t>
      </w:r>
    </w:p>
    <w:p>
      <w:pPr>
        <w:pStyle w:val="Body"/>
        <w:spacing w:line="360" w:lineRule="auto"/>
        <w:ind w:left="2160" w:hanging="2160"/>
        <w:rPr>
          <w:rFonts w:ascii="Times New Roman" w:cs="Times New Roman" w:hAnsi="Times New Roman" w:eastAsia="Times New Roman"/>
        </w:rPr>
      </w:pPr>
      <w:r>
        <w:rPr>
          <w:rFonts w:ascii="Times New Roman" w:hAnsi="Times New Roman"/>
          <w:rtl w:val="0"/>
          <w:lang w:val="en-US"/>
        </w:rPr>
        <w:t>Student Officer:</w:t>
        <w:tab/>
        <w:t>Ethan Ma</w:t>
      </w:r>
    </w:p>
    <w:p>
      <w:pPr>
        <w:pStyle w:val="Body"/>
        <w:pBdr>
          <w:top w:val="nil"/>
          <w:left w:val="nil"/>
          <w:bottom w:val="single" w:color="000000" w:sz="6" w:space="0" w:shadow="0" w:frame="0"/>
          <w:right w:val="nil"/>
        </w:pBdr>
        <w:spacing w:before="120" w:line="360" w:lineRule="auto"/>
        <w:ind w:left="2160" w:hanging="2160"/>
        <w:rPr>
          <w:rFonts w:ascii="Times New Roman" w:cs="Times New Roman" w:hAnsi="Times New Roman" w:eastAsia="Times New Roman"/>
          <w:sz w:val="26"/>
          <w:szCs w:val="26"/>
        </w:rPr>
      </w:pPr>
      <w:r>
        <w:rPr>
          <w:rFonts w:ascii="Times New Roman" w:hAnsi="Times New Roman"/>
          <w:rtl w:val="0"/>
          <w:lang w:val="en-US"/>
        </w:rPr>
        <w:t>Position:</w:t>
        <w:tab/>
        <w:t>Deputy President</w:t>
      </w: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Introduction</w:t>
      </w:r>
    </w:p>
    <w:p>
      <w:pPr>
        <w:pStyle w:val="Text of Research Report"/>
        <w:rPr>
          <w:rFonts w:ascii="Times New Roman" w:cs="Times New Roman" w:hAnsi="Times New Roman" w:eastAsia="Times New Roman"/>
        </w:rPr>
      </w:pPr>
      <w:r>
        <w:rPr>
          <w:rFonts w:ascii="Times New Roman" w:hAnsi="Times New Roman"/>
          <w:rtl w:val="0"/>
          <w:lang w:val="en-US"/>
        </w:rPr>
        <w:t>Oil and gas revenues have served as a core pillar of rapid development in many states, enabling major investments in infrastructure, education, healthcare, and welfare systems. Yet when national income, exports, and public budgets rely heavily on hydrocarbons, economic performance is inevitably linked to global commodity cycles. Thus, a fall in oil prices can quickly reduce fiscal revenue and foreign exchange earnings, forcing sudden spending cuts, higher borrowing, or rapid depletion of reserves. Over time, the repetition of these extreme cycles can weaken long-term planning, discourage private investment, and increase social vulnerability.</w:t>
      </w:r>
    </w:p>
    <w:p>
      <w:pPr>
        <w:pStyle w:val="Text of Research Report"/>
        <w:rPr>
          <w:rFonts w:ascii="Times New Roman" w:cs="Times New Roman" w:hAnsi="Times New Roman" w:eastAsia="Times New Roman"/>
        </w:rPr>
      </w:pPr>
      <w:r>
        <w:rPr>
          <w:rFonts w:ascii="Times New Roman" w:hAnsi="Times New Roman"/>
          <w:rtl w:val="0"/>
          <w:lang w:val="en-US"/>
        </w:rPr>
        <w:t>Economic diversification is the process of expanding the range of sectors that generate output, employment, exports, and government revenue. For oil-dependent economies, diversification is not simply about subsidizing new industries; it is about building stable institutions and competitive markets that can sustain growth even when oil prices drop and global demand varies heavily. Because the hydrocarbon sector is capital-intensive and generates fewer direct jobs relative to its share of GDP, diversification is also a solution to central employment issues, particularly for states with rapidly growing youth populations.</w:t>
      </w:r>
    </w:p>
    <w:p>
      <w:pPr>
        <w:pStyle w:val="Text of Research Report"/>
        <w:rPr>
          <w:rFonts w:ascii="Times New Roman" w:cs="Times New Roman" w:hAnsi="Times New Roman" w:eastAsia="Times New Roman"/>
        </w:rPr>
      </w:pPr>
      <w:r>
        <w:rPr>
          <w:rFonts w:ascii="Times New Roman" w:hAnsi="Times New Roman"/>
          <w:rtl w:val="0"/>
          <w:lang w:val="en-US"/>
        </w:rPr>
        <w:t xml:space="preserve">Diversification is difficult because the resource sector can shape incentives across the entire economy. In many exporting states, public employment becomes the dominant pathway to middle-class security, while private firms rely heavily on government contracts rather than building internationally competitive products. Subsidies for fuel, electricity, and water can lower costs in the short term but also reduce incentives for efficiency and innovation, and they can create large and politically sensitive fiscal burdens. At the macroeconomic level, </w:t>
      </w:r>
      <w:r>
        <w:rPr>
          <w:rFonts w:ascii="Times New Roman" w:hAnsi="Times New Roman" w:hint="default"/>
          <w:rtl w:val="0"/>
          <w:lang w:val="en-US"/>
        </w:rPr>
        <w:t>“</w:t>
      </w:r>
      <w:r>
        <w:rPr>
          <w:rFonts w:ascii="Times New Roman" w:hAnsi="Times New Roman"/>
          <w:rtl w:val="0"/>
          <w:lang w:val="en-US"/>
        </w:rPr>
        <w:t>Dutch disease</w:t>
      </w:r>
      <w:r>
        <w:rPr>
          <w:rFonts w:ascii="Times New Roman" w:hAnsi="Times New Roman" w:hint="default"/>
          <w:rtl w:val="0"/>
          <w:lang w:val="en-US"/>
        </w:rPr>
        <w:t xml:space="preserve">” </w:t>
      </w:r>
      <w:r>
        <w:rPr>
          <w:rFonts w:ascii="Times New Roman" w:hAnsi="Times New Roman"/>
          <w:rtl w:val="0"/>
          <w:lang w:val="en-US"/>
        </w:rPr>
        <w:t>dynamics can raise domestic costs and weaken non-oil exporters. These factors show that diversification requires both sector strategies and reforms to governance, markets, and human capital.</w:t>
      </w:r>
    </w:p>
    <w:p>
      <w:pPr>
        <w:pStyle w:val="Text of Research Report"/>
        <w:rPr>
          <w:rFonts w:ascii="Times New Roman" w:cs="Times New Roman" w:hAnsi="Times New Roman" w:eastAsia="Times New Roman"/>
        </w:rPr>
      </w:pPr>
      <w:r>
        <w:rPr>
          <w:rFonts w:ascii="Times New Roman" w:hAnsi="Times New Roman"/>
          <w:rtl w:val="0"/>
          <w:lang w:val="en-US"/>
        </w:rPr>
        <w:t>The challenge has grown more urgent with the global energy transition. Climate policy, which is growing rapidly urgent on an international scale, is accelerating development in renewable energy deployment, electrification, and energy efficiency. Hydrocarbons are likely to remain significant in the near term, but exporters face increasingly greater uncertainty regarding long-term demand growth and the cost of capital. This implies a narrowing window of the relevance of oil industries to fiscal systems, putting question marks on the huge bodies of employment and capital involved.</w:t>
      </w:r>
    </w:p>
    <w:p>
      <w:pPr>
        <w:pStyle w:val="Text of Research Report"/>
        <w:rPr>
          <w:rFonts w:ascii="Times New Roman" w:cs="Times New Roman" w:hAnsi="Times New Roman" w:eastAsia="Times New Roman"/>
        </w:rPr>
      </w:pPr>
      <w:r>
        <w:rPr>
          <w:rFonts w:ascii="Times New Roman" w:hAnsi="Times New Roman"/>
          <w:rtl w:val="0"/>
          <w:lang w:val="en-US"/>
        </w:rPr>
        <w:t>As the principal UN body responsible for advancing economic and social development, ECOSOC is positioned to address diversification as a multidimensional issue involving industrial revolution, labor inequality, and radical change we should prepare for. Delegates should consider how policy mixes can stabilize budgets, improve the enabling environment for entrepreneurship and private investment, strengthen education and skills, and ensure that diversification benefits are broadly shared rather than concentrated among a small number of specialized firms or regions.</w:t>
      </w:r>
    </w:p>
    <w:p>
      <w:pPr>
        <w:pStyle w:val="Text of Research Report"/>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 xml:space="preserve">Definition of Key Terms </w:t>
      </w:r>
    </w:p>
    <w:p>
      <w:pPr>
        <w:pStyle w:val="Key Term"/>
        <w:rPr>
          <w:rFonts w:ascii="Times New Roman" w:cs="Times New Roman" w:hAnsi="Times New Roman" w:eastAsia="Times New Roman"/>
        </w:rPr>
      </w:pPr>
      <w:r>
        <w:rPr>
          <w:rFonts w:ascii="Times New Roman" w:hAnsi="Times New Roman"/>
          <w:rtl w:val="0"/>
          <w:lang w:val="en-US"/>
        </w:rPr>
        <w:t>Economic diversification</w:t>
      </w:r>
    </w:p>
    <w:p>
      <w:pPr>
        <w:pStyle w:val="Body"/>
        <w:ind w:left="720"/>
        <w:rPr>
          <w:rFonts w:ascii="Times New Roman" w:cs="Times New Roman" w:hAnsi="Times New Roman" w:eastAsia="Times New Roman"/>
        </w:rPr>
      </w:pPr>
      <w:r>
        <w:rPr>
          <w:rFonts w:ascii="Times New Roman" w:hAnsi="Times New Roman"/>
          <w:rtl w:val="0"/>
          <w:lang w:val="en-US"/>
        </w:rPr>
        <w:t>A process through which an economy expands the range of goods and services it produces and exports, as well as the sources of government revenue, to reduce reliance on a single sector or commodity.</w:t>
      </w:r>
    </w:p>
    <w:p>
      <w:pPr>
        <w:pStyle w:val="Key Term"/>
        <w:rPr>
          <w:rFonts w:ascii="Times New Roman" w:cs="Times New Roman" w:hAnsi="Times New Roman" w:eastAsia="Times New Roman"/>
        </w:rPr>
      </w:pPr>
      <w:r>
        <w:rPr>
          <w:rFonts w:ascii="Times New Roman" w:hAnsi="Times New Roman"/>
          <w:rtl w:val="0"/>
          <w:lang w:val="en-US"/>
        </w:rPr>
        <w:t>Oil-dependent economy</w:t>
      </w:r>
    </w:p>
    <w:p>
      <w:pPr>
        <w:pStyle w:val="Body"/>
        <w:ind w:left="720"/>
        <w:rPr>
          <w:rFonts w:ascii="Times New Roman" w:cs="Times New Roman" w:hAnsi="Times New Roman" w:eastAsia="Times New Roman"/>
        </w:rPr>
      </w:pPr>
      <w:r>
        <w:rPr>
          <w:rFonts w:ascii="Times New Roman" w:hAnsi="Times New Roman"/>
          <w:rtl w:val="0"/>
          <w:lang w:val="en-US"/>
        </w:rPr>
        <w:t>A state in which oil and gas production and exports account for a large share of national output, exports, fiscal revenues, or foreign exchange earnings, making macroeconomic performance susceptible to hydrocarbon markets.</w:t>
      </w:r>
    </w:p>
    <w:p>
      <w:pPr>
        <w:pStyle w:val="Key Term"/>
        <w:rPr>
          <w:rFonts w:ascii="Times New Roman" w:cs="Times New Roman" w:hAnsi="Times New Roman" w:eastAsia="Times New Roman"/>
        </w:rPr>
      </w:pPr>
      <w:r>
        <w:rPr>
          <w:rFonts w:ascii="Times New Roman" w:hAnsi="Times New Roman"/>
          <w:rtl w:val="0"/>
          <w:lang w:val="en-US"/>
        </w:rPr>
        <w:t>Resource curse</w:t>
      </w:r>
    </w:p>
    <w:p>
      <w:pPr>
        <w:pStyle w:val="Body"/>
        <w:ind w:left="720"/>
        <w:rPr>
          <w:rFonts w:ascii="Times New Roman" w:cs="Times New Roman" w:hAnsi="Times New Roman" w:eastAsia="Times New Roman"/>
        </w:rPr>
      </w:pPr>
      <w:r>
        <w:rPr>
          <w:rFonts w:ascii="Times New Roman" w:hAnsi="Times New Roman"/>
          <w:rtl w:val="0"/>
          <w:lang w:val="en-US"/>
        </w:rPr>
        <w:t>A pattern in which countries with abundant natural resources experience weaker long-term growth or governance challenges compared to less resource-rich peers, often due to rent-seeking, volatility, and institutional weaknesses.</w:t>
      </w:r>
    </w:p>
    <w:p>
      <w:pPr>
        <w:pStyle w:val="Key Term"/>
        <w:rPr>
          <w:rFonts w:ascii="Times New Roman" w:cs="Times New Roman" w:hAnsi="Times New Roman" w:eastAsia="Times New Roman"/>
        </w:rPr>
      </w:pPr>
      <w:r>
        <w:rPr>
          <w:rFonts w:ascii="Times New Roman" w:hAnsi="Times New Roman"/>
          <w:rtl w:val="0"/>
          <w:lang w:val="en-US"/>
        </w:rPr>
        <w:t>Dutch disease</w:t>
      </w:r>
    </w:p>
    <w:p>
      <w:pPr>
        <w:pStyle w:val="Body"/>
        <w:ind w:left="720"/>
        <w:rPr>
          <w:rFonts w:ascii="Times New Roman" w:cs="Times New Roman" w:hAnsi="Times New Roman" w:eastAsia="Times New Roman"/>
        </w:rPr>
      </w:pPr>
      <w:r>
        <w:rPr>
          <w:rFonts w:ascii="Times New Roman" w:hAnsi="Times New Roman"/>
          <w:rtl w:val="0"/>
          <w:lang w:val="en-US"/>
        </w:rPr>
        <w:t>An economic phenomenon where large foreign currency inflows from a booming resource sector appreciate the real exchange rate and raise domestic costs, reducing the competitiveness of non-resource tradable sectors such as manufacturing and agriculture.</w:t>
      </w:r>
    </w:p>
    <w:p>
      <w:pPr>
        <w:pStyle w:val="Key Term"/>
        <w:rPr>
          <w:rFonts w:ascii="Times New Roman" w:cs="Times New Roman" w:hAnsi="Times New Roman" w:eastAsia="Times New Roman"/>
        </w:rPr>
      </w:pPr>
      <w:r>
        <w:rPr>
          <w:rFonts w:ascii="Times New Roman" w:hAnsi="Times New Roman"/>
          <w:rtl w:val="0"/>
          <w:lang w:val="en-US"/>
        </w:rPr>
        <w:t>Sovereign wealth fund (SWF)</w:t>
      </w:r>
    </w:p>
    <w:p>
      <w:pPr>
        <w:pStyle w:val="Body"/>
        <w:ind w:left="720"/>
        <w:rPr>
          <w:rFonts w:ascii="Times New Roman" w:cs="Times New Roman" w:hAnsi="Times New Roman" w:eastAsia="Times New Roman"/>
        </w:rPr>
      </w:pPr>
      <w:r>
        <w:rPr>
          <w:rFonts w:ascii="Times New Roman" w:hAnsi="Times New Roman"/>
          <w:rtl w:val="0"/>
          <w:lang w:val="en-US"/>
        </w:rPr>
        <w:t>A state-owned investment fund that manages national savings, often financed by commodity revenues, to stabilize budgets, save for future generations, or support domestic development.</w:t>
      </w:r>
    </w:p>
    <w:p>
      <w:pPr>
        <w:pStyle w:val="Key Term"/>
        <w:rPr>
          <w:rFonts w:ascii="Times New Roman" w:cs="Times New Roman" w:hAnsi="Times New Roman" w:eastAsia="Times New Roman"/>
        </w:rPr>
      </w:pPr>
      <w:r>
        <w:rPr>
          <w:rFonts w:ascii="Times New Roman" w:hAnsi="Times New Roman"/>
          <w:rtl w:val="0"/>
          <w:lang w:val="en-US"/>
        </w:rPr>
        <w:t>Fiscal rule</w:t>
      </w:r>
    </w:p>
    <w:p>
      <w:pPr>
        <w:pStyle w:val="Body"/>
        <w:ind w:left="720"/>
        <w:rPr>
          <w:rFonts w:ascii="Times New Roman" w:cs="Times New Roman" w:hAnsi="Times New Roman" w:eastAsia="Times New Roman"/>
        </w:rPr>
      </w:pPr>
      <w:r>
        <w:rPr>
          <w:rFonts w:ascii="Times New Roman" w:hAnsi="Times New Roman"/>
          <w:rtl w:val="0"/>
          <w:lang w:val="en-US"/>
        </w:rPr>
        <w:t>A long-term constraint on fiscal policy (for example, limits on deficits, expenditure growth, or debt) designed to reduce pro-cyclicality and promote sustainability, particularly important for commodity-exporting states.</w:t>
      </w:r>
    </w:p>
    <w:p>
      <w:pPr>
        <w:pStyle w:val="Key Term"/>
        <w:rPr>
          <w:rFonts w:ascii="Times New Roman" w:cs="Times New Roman" w:hAnsi="Times New Roman" w:eastAsia="Times New Roman"/>
        </w:rPr>
      </w:pPr>
      <w:r>
        <w:rPr>
          <w:rFonts w:ascii="Times New Roman" w:hAnsi="Times New Roman"/>
          <w:rtl w:val="0"/>
          <w:lang w:val="en-US"/>
        </w:rPr>
        <w:t>Local content policy</w:t>
      </w:r>
    </w:p>
    <w:p>
      <w:pPr>
        <w:pStyle w:val="Body"/>
        <w:ind w:left="720"/>
        <w:rPr>
          <w:rFonts w:ascii="Times New Roman" w:cs="Times New Roman" w:hAnsi="Times New Roman" w:eastAsia="Times New Roman"/>
        </w:rPr>
      </w:pPr>
      <w:r>
        <w:rPr>
          <w:rFonts w:ascii="Times New Roman" w:hAnsi="Times New Roman"/>
          <w:rtl w:val="0"/>
          <w:lang w:val="en-US"/>
        </w:rPr>
        <w:t>A set of requirements or incentives that increase the participation of domestic firms and workers in the extractive value chain through procurement targets, training obligations, or partnership arrangements.</w:t>
      </w:r>
    </w:p>
    <w:p>
      <w:pPr>
        <w:pStyle w:val="Key Term"/>
        <w:rPr>
          <w:rFonts w:ascii="Times New Roman" w:cs="Times New Roman" w:hAnsi="Times New Roman" w:eastAsia="Times New Roman"/>
        </w:rPr>
      </w:pPr>
      <w:r>
        <w:rPr>
          <w:rFonts w:ascii="Times New Roman" w:hAnsi="Times New Roman"/>
          <w:rtl w:val="0"/>
          <w:lang w:val="en-US"/>
        </w:rPr>
        <w:t>Non-oil fiscal balance</w:t>
      </w:r>
    </w:p>
    <w:p>
      <w:pPr>
        <w:pStyle w:val="Body"/>
        <w:ind w:left="720"/>
        <w:rPr>
          <w:rFonts w:ascii="Times New Roman" w:cs="Times New Roman" w:hAnsi="Times New Roman" w:eastAsia="Times New Roman"/>
        </w:rPr>
      </w:pPr>
      <w:r>
        <w:rPr>
          <w:rFonts w:ascii="Times New Roman" w:hAnsi="Times New Roman"/>
          <w:rtl w:val="0"/>
          <w:lang w:val="en-US"/>
        </w:rPr>
        <w:t>A measure of the government budget balance excluding oil revenues, used to assess underlying fiscal sustainability and the extent to which spending depends on hydrocarbons.</w:t>
      </w:r>
    </w:p>
    <w:p>
      <w:pPr>
        <w:pStyle w:val="Key Term"/>
        <w:rPr>
          <w:rFonts w:ascii="Times New Roman" w:cs="Times New Roman" w:hAnsi="Times New Roman" w:eastAsia="Times New Roman"/>
        </w:rPr>
      </w:pPr>
      <w:r>
        <w:rPr>
          <w:rFonts w:ascii="Times New Roman" w:hAnsi="Times New Roman"/>
          <w:rtl w:val="0"/>
          <w:lang w:val="en-US"/>
        </w:rPr>
        <w:t>Value added</w:t>
      </w:r>
    </w:p>
    <w:p>
      <w:pPr>
        <w:pStyle w:val="Body"/>
        <w:ind w:left="720"/>
        <w:rPr>
          <w:rFonts w:ascii="Times New Roman" w:cs="Times New Roman" w:hAnsi="Times New Roman" w:eastAsia="Times New Roman"/>
        </w:rPr>
      </w:pPr>
      <w:r>
        <w:rPr>
          <w:rFonts w:ascii="Times New Roman" w:hAnsi="Times New Roman"/>
          <w:rtl w:val="0"/>
          <w:lang w:val="en-US"/>
        </w:rPr>
        <w:t>The additional economic value created at each stage of production is often used as a measure of productivity and industrial upgrading when designing diversification strategies.</w:t>
      </w:r>
    </w:p>
    <w:p>
      <w:pPr>
        <w:pStyle w:val="Key Term"/>
        <w:rPr>
          <w:rFonts w:ascii="Times New Roman" w:cs="Times New Roman" w:hAnsi="Times New Roman" w:eastAsia="Times New Roman"/>
        </w:rPr>
      </w:pPr>
      <w:r>
        <w:rPr>
          <w:rFonts w:ascii="Times New Roman" w:hAnsi="Times New Roman"/>
          <w:rtl w:val="0"/>
          <w:lang w:val="en-US"/>
        </w:rPr>
        <w:t>Energy transition</w:t>
      </w:r>
    </w:p>
    <w:p>
      <w:pPr>
        <w:pStyle w:val="Body"/>
        <w:ind w:left="720"/>
        <w:rPr>
          <w:rFonts w:ascii="Times New Roman" w:cs="Times New Roman" w:hAnsi="Times New Roman" w:eastAsia="Times New Roman"/>
        </w:rPr>
      </w:pPr>
      <w:r>
        <w:rPr>
          <w:rFonts w:ascii="Times New Roman" w:hAnsi="Times New Roman"/>
          <w:rtl w:val="0"/>
          <w:lang w:val="en-US"/>
        </w:rPr>
        <w:t>The shift of energy systems away from high-emission fossil fuels toward low- or zero-carbon energy sources, supported by technology, policy, and investment changes.</w:t>
      </w:r>
    </w:p>
    <w:p>
      <w:pPr>
        <w:pStyle w:val="Body"/>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 xml:space="preserve">History &amp; Developments </w:t>
      </w:r>
    </w:p>
    <w:p>
      <w:pPr>
        <w:pStyle w:val="Sub-heading of Research Report"/>
        <w:rPr>
          <w:outline w:val="0"/>
          <w:color w:val="618ccf"/>
          <w14:textFill>
            <w14:solidFill>
              <w14:srgbClr w14:val="618CCF"/>
            </w14:solidFill>
          </w14:textFill>
        </w:rPr>
      </w:pPr>
      <w:r>
        <w:rPr>
          <w:outline w:val="0"/>
          <w:color w:val="618ccf"/>
          <w:rtl w:val="0"/>
          <w:lang w:val="en-US"/>
          <w14:textFill>
            <w14:solidFill>
              <w14:srgbClr w14:val="618CCF"/>
            </w14:solidFill>
          </w14:textFill>
        </w:rPr>
        <w:t>Oil dependence, volatility, and structural barriers</w:t>
      </w:r>
    </w:p>
    <w:p>
      <w:pPr>
        <w:pStyle w:val="Sub-sub-heading of Research Report"/>
      </w:pPr>
      <w:r>
        <w:rPr>
          <w:rtl w:val="0"/>
        </w:rPr>
        <w:t>Price shocks and fiscal instability</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Oil-dependent economies often experience pro-cyclical fiscal policy: government spending rises rapidly during booms and contracts during downturns. When prices are high, states may expand public employment, raise public-sector wages, increase subsidies, and launch large infrastructure programs. When prices fall, deficits can widen quickly, reserves may be drawn down, and new borrowing can increase debt vulnerabilities. This volatility makes it difficult to sustain multi-year development plans and can weaken the efficiency of public investment.</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Macroeconomic instability also affects households and firms. Currency pressure can raise import costs and inflation, while tighter credit conditions can reduce private investment. In systems where the state provides significant welfare benefits, abrupt fiscal consolidation may directly affect living standards and social stability. For these reasons, reform agendas may be delayed during downturns, and governments may rely on short-term borrowing rather than addressing the underlying dependence on oil revenue.</w:t>
      </w:r>
    </w:p>
    <w:p>
      <w:pPr>
        <w:pStyle w:val="Sub-sub-heading of Research Report"/>
      </w:pPr>
      <w:r>
        <w:rPr>
          <w:rtl w:val="0"/>
        </w:rPr>
        <w:t>Dutch disease and weakened competitiveness</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Large foreign exchange inflows from hydrocarbon exports can appreciate the real exchange rate and increase domestic costs for labor, land, and services. This reduces the competitiveness of non-oil tradable sectors, including manufacturing and agriculture, as imports become cheaper and domestic producers struggle to compete. Over time, the economy may lose opportunities for industrial learning and productivity growth, leaving a narrow export base that remains exposed to commodity cycles.</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Oil wealth can also shape incentives in the labor market. If public-sector jobs offer higher wages, stronger benefits, and better security, skilled workers may prefer the public sector, while private firms struggle to recruit talent. When private activity depends on state contracts rather than open competition, entrepreneurship may shift toward rent-seeking rather than innovation. These effects highlight why diversification requires both sector development and broad institutional reform.</w:t>
      </w:r>
    </w:p>
    <w:p>
      <w:pPr>
        <w:pStyle w:val="Sub-sub-heading of Research Report"/>
      </w:pPr>
      <w:r>
        <w:rPr>
          <w:rtl w:val="0"/>
        </w:rPr>
        <w:t>Diversification strategies and changing global conditions</w:t>
      </w:r>
    </w:p>
    <w:p>
      <w:pPr>
        <w:pStyle w:val="Sub-sub-heading of Research Report"/>
      </w:pPr>
      <w:r>
        <w:rPr>
          <w:rtl w:val="0"/>
        </w:rPr>
        <w:t>Sovereign wealth funds, fiscal rules, and revenue management</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Many exporters have created sovereign wealth funds and stabilization funds to manage volatility, save for future generations, and smooth government spending. When paired with transparent deposit and withdrawal rules, these funds can reduce boom-and-bust cycles by limiting how much of a temporary windfall is spent immediately. Fiscal rules, such as limits on deficits or targets for the non-oil fiscal balance, can further strengthen credibility by giving markets and citizens clearer expectations about long-term fiscal sustainability.</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These tools are only effective when supported by strong institutions. Weak public financial management, limited transparency, or frequent political exemptions can reduce credibility. For some states, a major barrier has been insufficient evaluation of public investment decisions, leading to waste and limited productivity gains. Strengthening budget transparency, audit capacity, and medium-term planning can therefore be as important as choosing which sectors to promote.</w:t>
      </w:r>
    </w:p>
    <w:p>
      <w:pPr>
        <w:pStyle w:val="Sub-sub-heading of Research Report"/>
      </w:pPr>
      <w:r>
        <w:rPr>
          <w:rtl w:val="0"/>
        </w:rPr>
        <w:t>National vision programs and the energy transition</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In recent decades, many exporters adopted long-term national strategies to expand non-oil activity in logistics, aviation, finance, tourism, mining, information technology, and higher-value manufacturing. These approaches often combine infrastructure investment with reforms aimed at attracting foreign direct investment, increasing private-sector participation, and improving the regulatory environment. Where diversification has been more durable, strategies have focused on productivity improvements, export competitiveness, and the development of human capital rather than relying solely on public spending.</w:t>
      </w:r>
    </w:p>
    <w:p>
      <w:pPr>
        <w:pStyle w:val="Text underneath Sub-sub-heading"/>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global energy transition adds both urgency and opportunity. Exporters can reduce domestic oil consumption by expanding renewable power and energy efficiency, freeing more hydrocarbons for export in the near term while lowering fiscal vulnerability in the long term. Some states are exploring transition-linked value chains such as renewable services, advanced petrochemicals, and low-carbon hydrogen. However, these strategies require careful cost analysis, stable regulation, and governance safeguards to ensure projects create broad value rather than isolated prestige investments.</w:t>
      </w:r>
    </w:p>
    <w:p>
      <w:pPr>
        <w:pStyle w:val="Body"/>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 xml:space="preserve">Major Parties Involved </w:t>
      </w:r>
    </w:p>
    <w:p>
      <w:pPr>
        <w:pStyle w:val="Sub-heading of Research Report"/>
        <w:rPr>
          <w:rFonts w:ascii="Times New Roman" w:cs="Times New Roman" w:hAnsi="Times New Roman" w:eastAsia="Times New Roman"/>
        </w:rPr>
      </w:pPr>
      <w:r>
        <w:rPr>
          <w:rFonts w:ascii="Times New Roman" w:hAnsi="Times New Roman"/>
          <w:rtl w:val="0"/>
          <w:lang w:val="en-US"/>
        </w:rPr>
        <w:t>Organization of the Petroleum Exporting Countries (OPEC)</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OPEC member states are among the world</w:t>
      </w:r>
      <w:r>
        <w:rPr>
          <w:rFonts w:ascii="Times New Roman" w:hAnsi="Times New Roman" w:hint="default"/>
          <w:rtl w:val="1"/>
        </w:rPr>
        <w:t>’</w:t>
      </w:r>
      <w:r>
        <w:rPr>
          <w:rFonts w:ascii="Times New Roman" w:hAnsi="Times New Roman"/>
          <w:rtl w:val="0"/>
          <w:lang w:val="en-US"/>
        </w:rPr>
        <w:t>s most oil-dependent economies and collectively influence oil market supply conditions. While OPEC does not directly implement a diversification policy, its production decisions affect fiscal space and reform timelines. OPEC is relevant to discussions about price volatility and the challenges of building stable budget planning frameworks in the face of commodity cycles.</w:t>
      </w:r>
    </w:p>
    <w:p>
      <w:pPr>
        <w:pStyle w:val="Sub-heading of Research Report"/>
        <w:rPr>
          <w:rFonts w:ascii="Times New Roman" w:cs="Times New Roman" w:hAnsi="Times New Roman" w:eastAsia="Times New Roman"/>
        </w:rPr>
      </w:pPr>
      <w:r>
        <w:rPr>
          <w:rFonts w:ascii="Times New Roman" w:hAnsi="Times New Roman"/>
          <w:rtl w:val="0"/>
          <w:lang w:val="en-US"/>
        </w:rPr>
        <w:t>International Monetary Fund (IMF)</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IMF provides surveillance, policy advice, and capacity development to commodity exporters. It frequently advises on fiscal frameworks, subsidy reform, exchange-rate policy, and public financial management, all of which shape diversification feasibility. During downturns, IMF programs and recommendations can strongly influence reform sequencing and the design of social protection measures.</w:t>
      </w:r>
    </w:p>
    <w:p>
      <w:pPr>
        <w:pStyle w:val="Sub-heading of Research Report"/>
        <w:rPr>
          <w:rFonts w:ascii="Times New Roman" w:cs="Times New Roman" w:hAnsi="Times New Roman" w:eastAsia="Times New Roman"/>
        </w:rPr>
      </w:pPr>
      <w:r>
        <w:rPr>
          <w:rFonts w:ascii="Times New Roman" w:hAnsi="Times New Roman"/>
          <w:rtl w:val="0"/>
          <w:lang w:val="en-US"/>
        </w:rPr>
        <w:t>World Bank Group</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World Bank supports structural transformation through development finance and advisory services in areas such as education and private-sector development. These areas are central to creating an enabling environment for competitive non-oil sectors. The World Bank also promotes investment climate reforms and project evaluation methods that can improve the quality of public spending and reduce waste.</w:t>
      </w:r>
    </w:p>
    <w:p>
      <w:pPr>
        <w:pStyle w:val="Sub-heading of Research Report"/>
        <w:rPr>
          <w:rFonts w:ascii="Times New Roman" w:cs="Times New Roman" w:hAnsi="Times New Roman" w:eastAsia="Times New Roman"/>
        </w:rPr>
      </w:pPr>
      <w:r>
        <w:rPr>
          <w:rFonts w:ascii="Times New Roman" w:hAnsi="Times New Roman"/>
          <w:rtl w:val="0"/>
          <w:lang w:val="en-US"/>
        </w:rPr>
        <w:t>UN Development Programme (UNDP)</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UNDP assists governments in aligning national development strategies with the Sustainable Development Goals, emphasizing inclusive growth and institution-building. UNDP projects often focus on labor market inclusion, public administration capacity, and support for communities affected by economic restructuring.</w:t>
      </w:r>
    </w:p>
    <w:p>
      <w:pPr>
        <w:pStyle w:val="Sub-heading of Research Report"/>
        <w:rPr>
          <w:rFonts w:ascii="Times New Roman" w:cs="Times New Roman" w:hAnsi="Times New Roman" w:eastAsia="Times New Roman"/>
        </w:rPr>
      </w:pPr>
      <w:r>
        <w:rPr>
          <w:rFonts w:ascii="Times New Roman" w:hAnsi="Times New Roman"/>
          <w:rtl w:val="0"/>
          <w:lang w:val="en-US"/>
        </w:rPr>
        <w:t>International Renewable Energy Agency (IRENA)</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IRENA supports renewable energy deployment and policy frameworks. For oil-dependent economies, renewables can reduce domestic fuel use, strengthen energy security, and open pathways to new industries and services connected to clean energy systems. IRENA</w:t>
      </w:r>
      <w:r>
        <w:rPr>
          <w:rFonts w:ascii="Times New Roman" w:hAnsi="Times New Roman" w:hint="default"/>
          <w:rtl w:val="1"/>
        </w:rPr>
        <w:t>’</w:t>
      </w:r>
      <w:r>
        <w:rPr>
          <w:rFonts w:ascii="Times New Roman" w:hAnsi="Times New Roman"/>
          <w:rtl w:val="0"/>
          <w:lang w:val="en-US"/>
        </w:rPr>
        <w:t>s technical guidance can support feasibility studies and planning for transition-related diversification opportunities.</w:t>
      </w:r>
    </w:p>
    <w:p>
      <w:pPr>
        <w:pStyle w:val="Sub-heading of Research Report"/>
        <w:rPr>
          <w:rFonts w:ascii="Times New Roman" w:cs="Times New Roman" w:hAnsi="Times New Roman" w:eastAsia="Times New Roman"/>
        </w:rPr>
      </w:pPr>
      <w:r>
        <w:rPr>
          <w:rFonts w:ascii="Times New Roman" w:hAnsi="Times New Roman"/>
          <w:rtl w:val="0"/>
          <w:lang w:val="en-US"/>
        </w:rPr>
        <w:t>Extractive Industries Transparency Initiative (EITI)</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EITI is a global multi-stakeholder initiative that promotes transparency and accountability in the extractive sector. Transparency reduces corruption risks and increases incentives for the management of resource revenues, creating a more stable foundation for diversification strategies and reform efforts.</w:t>
      </w:r>
    </w:p>
    <w:p>
      <w:pPr>
        <w:pStyle w:val="Sub-heading of Research Report"/>
        <w:rPr>
          <w:rFonts w:ascii="Times New Roman" w:cs="Times New Roman" w:hAnsi="Times New Roman" w:eastAsia="Times New Roman"/>
        </w:rPr>
      </w:pPr>
      <w:r>
        <w:rPr>
          <w:rFonts w:ascii="Times New Roman" w:hAnsi="Times New Roman"/>
          <w:rtl w:val="0"/>
          <w:lang w:val="en-US"/>
        </w:rPr>
        <w:t>Norway</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Norway is frequently cited for its long-term approach to managing petroleum revenues, which emphasizes saving and investing oil revenues through a large sovereign wealth fund and limiting the amount that can be allocated in the annual budget. While no model is perfectly transferable, Norway</w:t>
      </w:r>
      <w:r>
        <w:rPr>
          <w:rFonts w:ascii="Times New Roman" w:hAnsi="Times New Roman" w:hint="default"/>
          <w:rtl w:val="1"/>
        </w:rPr>
        <w:t>’</w:t>
      </w:r>
      <w:r>
        <w:rPr>
          <w:rFonts w:ascii="Times New Roman" w:hAnsi="Times New Roman"/>
          <w:rtl w:val="0"/>
          <w:lang w:val="en-US"/>
        </w:rPr>
        <w:t>s experience highlights the importance of transparency, strong fiscal institutions, and clear rules for using oil income.</w:t>
      </w:r>
    </w:p>
    <w:p>
      <w:pPr>
        <w:pStyle w:val="Sub-heading of Research Report"/>
        <w:rPr>
          <w:rFonts w:ascii="Times New Roman" w:cs="Times New Roman" w:hAnsi="Times New Roman" w:eastAsia="Times New Roman"/>
        </w:rPr>
      </w:pPr>
      <w:r>
        <w:rPr>
          <w:rFonts w:ascii="Times New Roman" w:hAnsi="Times New Roman"/>
          <w:rtl w:val="0"/>
          <w:lang w:val="en-US"/>
        </w:rPr>
        <w:t>United Arab Emirates (UAE)</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The UAE is often cited as an example of diversification through trade, logistics, aviation, tourism, and specialized free zones. Its experience illustrates how connectivity, regulatory openness, and service-sector development can reduce the share of hydrocarbons in GDP. Delegates may evaluate which elements are transferable to different political and income contexts.</w:t>
      </w:r>
    </w:p>
    <w:p>
      <w:pPr>
        <w:pStyle w:val="Sub-heading of Research Report"/>
        <w:rPr>
          <w:rFonts w:ascii="Times New Roman" w:cs="Times New Roman" w:hAnsi="Times New Roman" w:eastAsia="Times New Roman"/>
        </w:rPr>
      </w:pPr>
      <w:r>
        <w:rPr>
          <w:rFonts w:ascii="Times New Roman" w:hAnsi="Times New Roman"/>
          <w:rtl w:val="0"/>
          <w:lang w:val="en-US"/>
        </w:rPr>
        <w:t>Saudi Arabia</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Saudi Arabia is pursuing large-scale diversification through long-term national transformation planning, including expanding tourism, logistics, mining, and services. The case is relevant for examining the role of state-led investment, regulatory reform, and labor market policy in shifting economic structure, as well as the risks of relying on large public spending to generate non-oil growth.</w:t>
      </w:r>
    </w:p>
    <w:p>
      <w:pPr>
        <w:pStyle w:val="Sub-heading of Research Report"/>
        <w:rPr>
          <w:rFonts w:ascii="Times New Roman" w:cs="Times New Roman" w:hAnsi="Times New Roman" w:eastAsia="Times New Roman"/>
        </w:rPr>
      </w:pPr>
      <w:r>
        <w:rPr>
          <w:rFonts w:ascii="Times New Roman" w:hAnsi="Times New Roman"/>
          <w:rtl w:val="0"/>
          <w:lang w:val="en-US"/>
        </w:rPr>
        <w:t>Nigeria</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Nigeria illustrates the diversification challenge in a lower-middle-income context where development needs are high, and institutions face significant constraints. Oil revenue volatility, subsidy burdens, infrastructure gaps, and limited manufacturing competitiveness create obstacles to broad-based transformation, highlighting the importance of governance and reliable electricity for non-oil industrial growth.</w:t>
      </w:r>
    </w:p>
    <w:p>
      <w:pPr>
        <w:pStyle w:val="Body"/>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Timeline of Events</w:t>
      </w:r>
    </w:p>
    <w:tbl>
      <w:tblPr>
        <w:tblW w:w="10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ca"/>
        <w:tblLayout w:type="fixed"/>
      </w:tblPr>
      <w:tblGrid>
        <w:gridCol w:w="3333"/>
        <w:gridCol w:w="3333"/>
        <w:gridCol w:w="3334"/>
      </w:tblGrid>
      <w:tr>
        <w:tblPrEx>
          <w:shd w:val="clear" w:color="auto" w:fill="cadfca"/>
        </w:tblPrEx>
        <w:trPr>
          <w:trHeight w:val="394"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Date</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Event Name</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Description</w:t>
            </w:r>
          </w:p>
        </w:tc>
      </w:tr>
      <w:tr>
        <w:tblPrEx>
          <w:shd w:val="clear" w:color="auto" w:fill="cadfca"/>
        </w:tblPrEx>
        <w:trPr>
          <w:trHeight w:val="121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Oct. 1973</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1973 oil crisis</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Oil embargo and price shock increase exporter revenues and highlight the importance of long-term revenue management and planning.</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1986</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Oil price collapse</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Sharp price decline forces many exporters to cut spending and borrow, demonstrating vulnerability to commodity cycles.</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2003</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EITI established</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Launch of a global transparency initiative to improve accountability and governance in extractive revenue management.</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2003</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Global financial crisis</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Extreme commodity price swings reveal exposure of exporters to global demand and financial cycles.</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2003</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Extended oil price downturn</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Multi-year price decline triggers fiscal adjustment and accelerates reform debates across exporting regions.</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27 July 2015</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Addis Ababa Action Agenda adopted</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Financing-for-development framework emphasizes domestic resource mobilization, investment quality, and policy coherence.</w:t>
            </w:r>
          </w:p>
        </w:tc>
      </w:tr>
      <w:tr>
        <w:tblPrEx>
          <w:shd w:val="clear" w:color="auto" w:fill="cadfca"/>
        </w:tblPrEx>
        <w:trPr>
          <w:trHeight w:val="121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25 Sept. 2015</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2030 Agenda adopted</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Sustainable Development Goals strengthen international expectations for inclusive, diversified, and sustainable economic development.</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2016</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Major national diversification programs expand</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adfca"/>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Several exporters strengthen long-term strategies prioritizing non-oil sectors and private-sector participation.</w:t>
            </w:r>
          </w:p>
        </w:tc>
      </w:tr>
      <w:tr>
        <w:tblPrEx>
          <w:shd w:val="clear" w:color="auto" w:fill="cadfca"/>
        </w:tblPrEx>
        <w:trPr>
          <w:trHeight w:val="971" w:hRule="atLeast"/>
        </w:trPr>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13 Dec. 2023</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COP28 Global Stocktake outcomes</w:t>
            </w:r>
          </w:p>
        </w:tc>
        <w:tc>
          <w:tcPr>
            <w:tcW w:type="dxa" w:w="333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6efe6"/>
            <w:tcMar>
              <w:top w:type="dxa" w:w="20"/>
              <w:left w:type="dxa" w:w="100"/>
              <w:bottom w:type="dxa" w:w="20"/>
              <w:right w:type="dxa" w:w="100"/>
            </w:tcMar>
            <w:vAlign w:val="top"/>
          </w:tcPr>
          <w:p>
            <w:pPr>
              <w:keepNext w:val="0"/>
              <w:keepLines w:val="0"/>
              <w:pageBreakBefore w:val="0"/>
              <w:widowControl w:val="1"/>
              <w:shd w:val="clear" w:color="auto" w:fill="auto"/>
              <w:tabs>
                <w:tab w:val="left" w:pos="560"/>
                <w:tab w:val="left" w:pos="1120"/>
                <w:tab w:val="left" w:pos="1680"/>
                <w:tab w:val="left" w:pos="2240"/>
                <w:tab w:val="left" w:pos="280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Momentum toward energy transition increases strategic pressure on exporters to accelerate diversification planning.</w:t>
            </w:r>
          </w:p>
        </w:tc>
      </w:tr>
    </w:tbl>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s>
        <w:suppressAutoHyphens w:val="1"/>
        <w:spacing w:before="0" w:line="240" w:lineRule="auto"/>
        <w:jc w:val="left"/>
        <w:rPr>
          <w:outline w:val="0"/>
          <w:color w:val="548dd4"/>
          <w:sz w:val="26"/>
          <w:szCs w:val="26"/>
          <w:u w:color="548dd4"/>
          <w14:textFill>
            <w14:solidFill>
              <w14:srgbClr w14:val="548DD4"/>
            </w14:solidFill>
          </w14:textFill>
        </w:rPr>
      </w:pPr>
    </w:p>
    <w:p>
      <w:pPr>
        <w:pStyle w:val="Section Title"/>
        <w:widowControl w:val="0"/>
        <w:spacing w:line="240" w:lineRule="auto"/>
        <w:rPr>
          <w:rFonts w:ascii="Times New Roman" w:cs="Times New Roman" w:hAnsi="Times New Roman" w:eastAsia="Times New Roman"/>
          <w:outline w:val="0"/>
          <w:color w:val="548dd4"/>
          <w:u w:color="548dd4"/>
          <w14:textFill>
            <w14:solidFill>
              <w14:srgbClr w14:val="548DD4"/>
            </w14:solidFill>
          </w14:textFill>
        </w:rPr>
      </w:pPr>
    </w:p>
    <w:p>
      <w:pPr>
        <w:pStyle w:val="Section Title"/>
        <w:rPr>
          <w:rFonts w:ascii="Times New Roman" w:cs="Times New Roman" w:hAnsi="Times New Roman" w:eastAsia="Times New Roman"/>
        </w:rPr>
      </w:pPr>
      <w:r>
        <w:rPr>
          <w:rFonts w:ascii="Times New Roman" w:hAnsi="Times New Roman"/>
          <w:outline w:val="0"/>
          <w:color w:val="548dd4"/>
          <w:u w:color="548dd4"/>
          <w:rtl w:val="0"/>
          <w:lang w:val="en-US"/>
          <w14:textFill>
            <w14:solidFill>
              <w14:srgbClr w14:val="548DD4"/>
            </w14:solidFill>
          </w14:textFill>
        </w:rPr>
        <w:t>Previous Attempts to Solve the Issue</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Many states have attempted to reduce volatility through sovereign wealth funds and stabilization mechanisms. By saving a portion of commodity revenues and using clearer rules for withdrawals, governments can protect priority spending and avoid rapid expansion during booms. Results depend on transparency, investment governance, and the credibility of fiscal frameworks.</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Energy subsidy reforms have been pursued to reduce fiscal burdens and improve efficiency. Some governments introduced gradual fuel price adjustments, targeted compensation, or reforms to electricity pricing. Success has varied, with outcomes shaped by the strength of social protection for low-income households and the degree to which governments intervene with various systems involved.</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Special economic zones and industrial clusters have been used to attract foreign direct investment and concentrate infrastructure and regulation in targeted areas. While some zones become export hubs, others remain dependent on continued state incentives, highlighting the importance of linking zones to skills development, local supply chains, and global markets.</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National vision strategies have aimed to develop sectors such as tourism, finance, logistics, and technology through large-scale investment and regulatory reforms. These strategies have produced mixed outcomes: they can accelerate infrastructure and branding, but lasting diversification requires productivity gains, effective regulation, and private-sector job creation rather than temporary stimulus.</w:t>
      </w:r>
    </w:p>
    <w:p>
      <w:pPr>
        <w:pStyle w:val="Body"/>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rtl w:val="0"/>
          <w:lang w:val="en-US"/>
        </w:rPr>
        <w:t>Governance and transparency initiatives, including improved auditing and disclosure of extractive revenues, have been promoted to reduce rent-seeking and improve accountability. These efforts can strengthen public confidence and reduce leakage of funds, but they must be paired with capable institutions and enforcement to translate transparency into better economic outcomes.</w:t>
      </w:r>
    </w:p>
    <w:p>
      <w:pPr>
        <w:pStyle w:val="Body"/>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sz w:val="22"/>
          <w:szCs w:val="22"/>
          <w:u w:color="548dd4"/>
          <w14:textFill>
            <w14:solidFill>
              <w14:srgbClr w14:val="548DD4"/>
            </w14:solidFill>
          </w14:textFill>
        </w:rPr>
      </w:pPr>
      <w:r>
        <w:rPr>
          <w:rFonts w:ascii="Times New Roman" w:hAnsi="Times New Roman"/>
          <w:outline w:val="0"/>
          <w:color w:val="548dd4"/>
          <w:sz w:val="22"/>
          <w:szCs w:val="22"/>
          <w:u w:color="548dd4"/>
          <w:rtl w:val="0"/>
          <w:lang w:val="en-US"/>
          <w14:textFill>
            <w14:solidFill>
              <w14:srgbClr w14:val="548DD4"/>
            </w14:solidFill>
          </w14:textFill>
        </w:rPr>
        <w:t>Relevant UN Treaties and Events</w:t>
      </w:r>
    </w:p>
    <w:p>
      <w:pPr>
        <w:pStyle w:val="목록 단락1"/>
        <w:rPr>
          <w:rFonts w:ascii="Times New Roman" w:cs="Times New Roman" w:hAnsi="Times New Roman" w:eastAsia="Times New Roman"/>
        </w:rPr>
      </w:pPr>
      <w:r>
        <w:rPr>
          <w:rFonts w:ascii="Times New Roman" w:hAnsi="Times New Roman"/>
          <w:rtl w:val="0"/>
          <w:lang w:val="en-US"/>
        </w:rPr>
        <w:t>Transforming our world: the 2030 Agenda for Sustainable Development (A/RES/70/1), adopted 25 September 2015.</w:t>
      </w:r>
    </w:p>
    <w:p>
      <w:pPr>
        <w:pStyle w:val="목록 단락1"/>
        <w:rPr>
          <w:rFonts w:ascii="Times New Roman" w:cs="Times New Roman" w:hAnsi="Times New Roman" w:eastAsia="Times New Roman"/>
        </w:rPr>
      </w:pPr>
      <w:r>
        <w:rPr>
          <w:rFonts w:ascii="Times New Roman" w:hAnsi="Times New Roman"/>
          <w:rtl w:val="0"/>
          <w:lang w:val="en-US"/>
        </w:rPr>
        <w:t>Addis Ababa Action Agenda of the Third International Conference on Financing for Development (A/RES/69/313), adopted 27 July 2015.</w:t>
      </w:r>
    </w:p>
    <w:p>
      <w:pPr>
        <w:pStyle w:val="목록 단락1"/>
        <w:rPr>
          <w:rFonts w:ascii="Times New Roman" w:cs="Times New Roman" w:hAnsi="Times New Roman" w:eastAsia="Times New Roman"/>
        </w:rPr>
      </w:pPr>
      <w:r>
        <w:rPr>
          <w:rFonts w:ascii="Times New Roman" w:hAnsi="Times New Roman"/>
          <w:rtl w:val="0"/>
          <w:lang w:val="en-US"/>
        </w:rPr>
        <w:t>The future we want (A/RES/66/288), adopted 27 July 2012.</w:t>
      </w:r>
    </w:p>
    <w:p>
      <w:pPr>
        <w:pStyle w:val="목록 단락1"/>
        <w:rPr>
          <w:rFonts w:ascii="Times New Roman" w:cs="Times New Roman" w:hAnsi="Times New Roman" w:eastAsia="Times New Roman"/>
        </w:rPr>
      </w:pPr>
      <w:r>
        <w:rPr>
          <w:rFonts w:ascii="Times New Roman" w:hAnsi="Times New Roman"/>
          <w:rtl w:val="0"/>
          <w:lang w:val="en-US"/>
        </w:rPr>
        <w:t>Paris Agreement under the UNFCCC, adopted 12 December 2015.</w:t>
      </w:r>
    </w:p>
    <w:p>
      <w:pPr>
        <w:pStyle w:val="목록 단락1"/>
        <w:rPr>
          <w:rFonts w:ascii="Times New Roman" w:cs="Times New Roman" w:hAnsi="Times New Roman" w:eastAsia="Times New Roman"/>
        </w:rPr>
      </w:pPr>
      <w:r>
        <w:rPr>
          <w:rFonts w:ascii="Times New Roman" w:hAnsi="Times New Roman"/>
          <w:rtl w:val="0"/>
          <w:lang w:val="en-US"/>
        </w:rPr>
        <w:t>ECOSOC Financing for Development Forum (annual), which reviews global financing conditions and policy coherence for sustainable development.</w:t>
      </w:r>
    </w:p>
    <w:p>
      <w:pPr>
        <w:pStyle w:val="목록 단락1"/>
        <w:rPr>
          <w:rFonts w:ascii="Times New Roman" w:cs="Times New Roman" w:hAnsi="Times New Roman" w:eastAsia="Times New Roman"/>
        </w:rPr>
      </w:pPr>
      <w:r>
        <w:rPr>
          <w:rFonts w:ascii="Times New Roman" w:hAnsi="Times New Roman"/>
          <w:rtl w:val="0"/>
          <w:lang w:val="en-US"/>
        </w:rPr>
        <w:t>High-level Political Forum on Sustainable Development (annual), which reviews SDG implementation and national progress reporting.</w:t>
      </w:r>
    </w:p>
    <w:p>
      <w:pPr>
        <w:pStyle w:val="목록 단락1"/>
        <w:rPr>
          <w:rFonts w:ascii="Times New Roman" w:cs="Times New Roman" w:hAnsi="Times New Roman" w:eastAsia="Times New Roman"/>
        </w:rPr>
      </w:pPr>
      <w:r>
        <w:rPr>
          <w:rFonts w:ascii="Times New Roman" w:hAnsi="Times New Roman"/>
          <w:rtl w:val="0"/>
          <w:lang w:val="en-US"/>
        </w:rPr>
        <w:t>COP28 Global Stocktake outcomes (UAE Consensus), adopted 13 December 2023.</w:t>
      </w:r>
    </w:p>
    <w:p>
      <w:pPr>
        <w:pStyle w:val="Body"/>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Possible Solutions</w:t>
      </w:r>
    </w:p>
    <w:p>
      <w:pPr>
        <w:pStyle w:val="Body"/>
        <w:rPr>
          <w:rFonts w:ascii="Times New Roman" w:cs="Times New Roman" w:hAnsi="Times New Roman" w:eastAsia="Times New Roman"/>
        </w:rPr>
      </w:pPr>
      <w:r>
        <w:rPr>
          <w:rFonts w:ascii="Times New Roman" w:hAnsi="Times New Roman"/>
          <w:b w:val="1"/>
          <w:bCs w:val="1"/>
          <w:rtl w:val="0"/>
          <w:lang w:val="en-US"/>
        </w:rPr>
        <w:t>Adopt credible medium-term fiscal frameworks that delink public spending from short-term oil price movements.</w:t>
      </w:r>
      <w:r>
        <w:rPr>
          <w:rFonts w:ascii="Times New Roman" w:hAnsi="Times New Roman"/>
          <w:rtl w:val="0"/>
          <w:lang w:val="en-US"/>
        </w:rPr>
        <w:t xml:space="preserve"> Governments can strengthen fiscal sustainability by using multi-year expenditure frameworks and anchors such as the non-oil fiscal balance. Stabilization funds and sovereign wealth funds should operate with transparent rules for deposits and withdrawals, supported by independent auditing and public reporting. This reduces pro-cyclicality and makes long-term sector planning more credible for private investors.</w:t>
      </w:r>
    </w:p>
    <w:p>
      <w:pPr>
        <w:pStyle w:val="Body"/>
        <w:rPr>
          <w:rFonts w:ascii="Times New Roman" w:cs="Times New Roman" w:hAnsi="Times New Roman" w:eastAsia="Times New Roman"/>
        </w:rPr>
      </w:pPr>
      <w:r>
        <w:rPr>
          <w:rFonts w:ascii="Times New Roman" w:hAnsi="Times New Roman"/>
          <w:b w:val="1"/>
          <w:bCs w:val="1"/>
          <w:rtl w:val="0"/>
          <w:lang w:val="en-US"/>
        </w:rPr>
        <w:t>Reform energy subsidies gradually while expanding targeted social protection.</w:t>
      </w:r>
      <w:r>
        <w:rPr>
          <w:rFonts w:ascii="Times New Roman" w:hAnsi="Times New Roman"/>
          <w:rtl w:val="0"/>
          <w:lang w:val="en-US"/>
        </w:rPr>
        <w:t xml:space="preserve"> Fuel and electricity subsidies can create large fiscal burdens and distort incentives. Gradual reforms paired with targeted compensation, such as cash transfers, transport support, or expanded essential services, can protect low-income households while encouraging energy efficiency and freeing fiscal space for education, health, and productive infrastructure.</w:t>
      </w:r>
    </w:p>
    <w:p>
      <w:pPr>
        <w:pStyle w:val="Body"/>
        <w:rPr>
          <w:rFonts w:ascii="Times New Roman" w:cs="Times New Roman" w:hAnsi="Times New Roman" w:eastAsia="Times New Roman"/>
        </w:rPr>
      </w:pPr>
      <w:r>
        <w:rPr>
          <w:rFonts w:ascii="Times New Roman" w:hAnsi="Times New Roman"/>
          <w:b w:val="1"/>
          <w:bCs w:val="1"/>
          <w:rtl w:val="0"/>
          <w:lang w:val="en-US"/>
        </w:rPr>
        <w:t>Improve the business environment and competition policy to support private-sector growth.</w:t>
      </w:r>
      <w:r>
        <w:rPr>
          <w:rFonts w:ascii="Times New Roman" w:hAnsi="Times New Roman"/>
          <w:rtl w:val="0"/>
          <w:lang w:val="en-US"/>
        </w:rPr>
        <w:t xml:space="preserve"> Diversification depends on firms that can innovate, scale, and export. Governments can reduce barriers to entry by simplifying licensing, strengthening contract enforcement, improving insolvency regimes, and protecting property rights. Transparent procurement and competition policy can prevent market capture and ensure that state-owned enterprises do not crowd out private firms.</w:t>
      </w:r>
    </w:p>
    <w:p>
      <w:pPr>
        <w:pStyle w:val="Body"/>
        <w:rPr>
          <w:rFonts w:ascii="Times New Roman" w:cs="Times New Roman" w:hAnsi="Times New Roman" w:eastAsia="Times New Roman"/>
        </w:rPr>
      </w:pPr>
      <w:r>
        <w:rPr>
          <w:rFonts w:ascii="Times New Roman" w:hAnsi="Times New Roman"/>
          <w:b w:val="1"/>
          <w:bCs w:val="1"/>
          <w:rtl w:val="0"/>
          <w:lang w:val="en-US"/>
        </w:rPr>
        <w:t>Invest in human capital and align education systems with labor market needs.</w:t>
      </w:r>
      <w:r>
        <w:rPr>
          <w:rFonts w:ascii="Times New Roman" w:hAnsi="Times New Roman"/>
          <w:rtl w:val="0"/>
          <w:lang w:val="en-US"/>
        </w:rPr>
        <w:t xml:space="preserve"> Expanding technical and vocational education, strengthening STEM and digital skills, and building partnerships between schools and employers can increase productivity and employability. Labor market reforms that narrow public</w:t>
      </w:r>
      <w:r>
        <w:rPr>
          <w:rFonts w:ascii="Times New Roman" w:hAnsi="Times New Roman" w:hint="default"/>
          <w:rtl w:val="0"/>
        </w:rPr>
        <w:t>–</w:t>
      </w:r>
      <w:r>
        <w:rPr>
          <w:rFonts w:ascii="Times New Roman" w:hAnsi="Times New Roman"/>
          <w:rtl w:val="0"/>
          <w:lang w:val="en-US"/>
        </w:rPr>
        <w:t>private wage distortions and support mobility can encourage talented workers to enter and remain in the private sector.</w:t>
      </w:r>
    </w:p>
    <w:p>
      <w:pPr>
        <w:pStyle w:val="Body"/>
        <w:rPr>
          <w:rFonts w:ascii="Times New Roman" w:cs="Times New Roman" w:hAnsi="Times New Roman" w:eastAsia="Times New Roman"/>
        </w:rPr>
      </w:pPr>
      <w:r>
        <w:rPr>
          <w:rFonts w:ascii="Times New Roman" w:hAnsi="Times New Roman"/>
          <w:b w:val="1"/>
          <w:bCs w:val="1"/>
          <w:rtl w:val="0"/>
          <w:lang w:val="en-US"/>
        </w:rPr>
        <w:t>Develop non-oil tradable sectors through performance-based industrial policy and trade facilitation.</w:t>
      </w:r>
      <w:r>
        <w:rPr>
          <w:rFonts w:ascii="Times New Roman" w:hAnsi="Times New Roman"/>
          <w:rtl w:val="0"/>
          <w:lang w:val="en-US"/>
        </w:rPr>
        <w:t xml:space="preserve"> Instead of broad, permanent subsidies, support can be targeted to exports, productivity improvements, and job creation. Governments can prioritize sectors with comparative advantage, such as logistics, agro-processing, downstream petrochemicals, and digital services, while improving standards compliance, customs efficiency, and access to regional markets.</w:t>
      </w:r>
    </w:p>
    <w:p>
      <w:pPr>
        <w:pStyle w:val="Body"/>
        <w:rPr>
          <w:rFonts w:ascii="Times New Roman" w:cs="Times New Roman" w:hAnsi="Times New Roman" w:eastAsia="Times New Roman"/>
        </w:rPr>
      </w:pPr>
      <w:r>
        <w:rPr>
          <w:rFonts w:ascii="Times New Roman" w:hAnsi="Times New Roman"/>
          <w:b w:val="1"/>
          <w:bCs w:val="1"/>
          <w:rtl w:val="0"/>
          <w:lang w:val="en-US"/>
        </w:rPr>
        <w:t>Use the energy transition as an opportunity to build new value chains and reduce domestic oil consumption.</w:t>
      </w:r>
      <w:r>
        <w:rPr>
          <w:rFonts w:ascii="Times New Roman" w:hAnsi="Times New Roman"/>
          <w:rtl w:val="0"/>
          <w:lang w:val="en-US"/>
        </w:rPr>
        <w:t xml:space="preserve"> Renewable deployment, grid modernization, and efficiency measures can lower domestic fuel use and reduce fiscal exposure to subsidies. Where feasible, exporters can develop transition-linked industries such as renewable services, green manufacturing inputs, and low-carbon hydrogen, but projects should be evaluated for cost competitiveness and governance risks to ensure they create broad value rather than isolated prestige investments.</w:t>
      </w:r>
    </w:p>
    <w:p>
      <w:pPr>
        <w:pStyle w:val="Body"/>
        <w:rPr>
          <w:rFonts w:ascii="Times New Roman" w:cs="Times New Roman" w:hAnsi="Times New Roman" w:eastAsia="Times New Roman"/>
        </w:rPr>
      </w:pPr>
      <w:r>
        <w:rPr>
          <w:rFonts w:ascii="Times New Roman" w:hAnsi="Times New Roman"/>
          <w:b w:val="1"/>
          <w:bCs w:val="1"/>
          <w:rtl w:val="0"/>
          <w:lang w:val="en-US"/>
        </w:rPr>
        <w:t>Strengthen governance of extractive revenues and broaden domestic resource mobilization.</w:t>
      </w:r>
      <w:r>
        <w:rPr>
          <w:rFonts w:ascii="Times New Roman" w:hAnsi="Times New Roman"/>
          <w:rtl w:val="0"/>
          <w:lang w:val="en-US"/>
        </w:rPr>
        <w:t xml:space="preserve"> Improving tax administration, customs collection, and anti-corruption enforcement can reduce dependence on oil windfalls and strengthen state capacity. Greater transparency in revenue collection and public investment decisions can increase public trust, which is essential for politically difficult reforms such as subsidy reduction and public-sector restructuring.</w:t>
      </w:r>
    </w:p>
    <w:p>
      <w:pPr>
        <w:pStyle w:val="Body"/>
        <w:rPr>
          <w:rFonts w:ascii="Times New Roman" w:cs="Times New Roman" w:hAnsi="Times New Roman" w:eastAsia="Times New Roman"/>
        </w:rPr>
      </w:pPr>
      <w:r>
        <w:rPr>
          <w:rFonts w:ascii="Times New Roman" w:hAnsi="Times New Roman"/>
          <w:b w:val="1"/>
          <w:bCs w:val="1"/>
          <w:rtl w:val="0"/>
          <w:lang w:val="en-US"/>
        </w:rPr>
        <w:t>Expand international cooperation and regional integration to enlarge markets for diversified exports.</w:t>
      </w:r>
      <w:r>
        <w:rPr>
          <w:rFonts w:ascii="Times New Roman" w:hAnsi="Times New Roman"/>
          <w:rtl w:val="0"/>
          <w:lang w:val="en-US"/>
        </w:rPr>
        <w:t xml:space="preserve"> Trade agreements, mutual recognition of standards, and cross-border infrastructure can help firms reach scale, especially in smaller economies. Development partners can support diversification through blended finance, risk guarantees, and technical assistance for regulatory reforms, data systems, and project evaluation, improving both the quantity and quality of investment.</w:t>
      </w:r>
    </w:p>
    <w:p>
      <w:pPr>
        <w:pStyle w:val="Body"/>
        <w:rPr>
          <w:rFonts w:ascii="Times New Roman" w:cs="Times New Roman" w:hAnsi="Times New Roman" w:eastAsia="Times New Roman"/>
        </w:rPr>
      </w:pPr>
    </w:p>
    <w:p>
      <w:pPr>
        <w:pStyle w:val="Section Title"/>
        <w:rPr>
          <w:rFonts w:ascii="Times New Roman" w:cs="Times New Roman" w:hAnsi="Times New Roman" w:eastAsia="Times New Roman"/>
          <w:outline w:val="0"/>
          <w:color w:val="548dd4"/>
          <w:u w:color="548dd4"/>
          <w14:textFill>
            <w14:solidFill>
              <w14:srgbClr w14:val="548DD4"/>
            </w14:solidFill>
          </w14:textFill>
        </w:rPr>
      </w:pPr>
      <w:r>
        <w:rPr>
          <w:rFonts w:ascii="Times New Roman" w:hAnsi="Times New Roman"/>
          <w:outline w:val="0"/>
          <w:color w:val="548dd4"/>
          <w:u w:color="548dd4"/>
          <w:rtl w:val="0"/>
          <w:lang w:val="en-US"/>
          <w14:textFill>
            <w14:solidFill>
              <w14:srgbClr w14:val="548DD4"/>
            </w14:solidFill>
          </w14:textFill>
        </w:rPr>
        <w:t>Bibliography</w:t>
      </w:r>
    </w:p>
    <w:p>
      <w:pPr>
        <w:pStyle w:val="Body"/>
        <w:rPr>
          <w:rFonts w:ascii="Times New Roman" w:cs="Times New Roman" w:hAnsi="Times New Roman" w:eastAsia="Times New Roman"/>
          <w:b w:val="1"/>
          <w:bCs w:val="1"/>
        </w:rPr>
      </w:pPr>
      <w:r>
        <w:rPr>
          <w:rFonts w:ascii="Times New Roman" w:hAnsi="Times New Roman"/>
          <w:b w:val="1"/>
          <w:bCs w:val="1"/>
          <w:rtl w:val="0"/>
          <w:lang w:val="en-US"/>
        </w:rPr>
        <w:t>United Nations General Assembly. Transforming our world: the 2030 Agenda for Sustainable Development. A/RES/70/1, 25 Sept. 2015.</w:t>
      </w:r>
    </w:p>
    <w:p>
      <w:pPr>
        <w:pStyle w:val="Body"/>
        <w:rPr>
          <w:rFonts w:ascii="Times New Roman" w:cs="Times New Roman" w:hAnsi="Times New Roman" w:eastAsia="Times New Roman"/>
          <w:b w:val="1"/>
          <w:bCs w:val="1"/>
        </w:rPr>
      </w:pPr>
      <w:r>
        <w:rPr>
          <w:rFonts w:ascii="Times New Roman" w:hAnsi="Times New Roman"/>
          <w:b w:val="1"/>
          <w:bCs w:val="1"/>
          <w:rtl w:val="0"/>
          <w:lang w:val="en-US"/>
        </w:rPr>
        <w:t>United Nations General Assembly. Addis Ababa Action Agenda of the Third International Conference on Financing for Development. A/RES/69/313, 27 July 2015.</w:t>
      </w:r>
    </w:p>
    <w:p>
      <w:pPr>
        <w:pStyle w:val="Body"/>
        <w:rPr>
          <w:rFonts w:ascii="Times New Roman" w:cs="Times New Roman" w:hAnsi="Times New Roman" w:eastAsia="Times New Roman"/>
          <w:b w:val="1"/>
          <w:bCs w:val="1"/>
        </w:rPr>
      </w:pPr>
      <w:r>
        <w:rPr>
          <w:rFonts w:ascii="Times New Roman" w:hAnsi="Times New Roman"/>
          <w:b w:val="1"/>
          <w:bCs w:val="1"/>
          <w:rtl w:val="0"/>
          <w:lang w:val="en-US"/>
        </w:rPr>
        <w:t>United Nations General Assembly. The future we want. A/RES/66/288, 27 July 2012.</w:t>
      </w:r>
    </w:p>
    <w:p>
      <w:pPr>
        <w:pStyle w:val="Body"/>
        <w:rPr>
          <w:rFonts w:ascii="Times New Roman" w:cs="Times New Roman" w:hAnsi="Times New Roman" w:eastAsia="Times New Roman"/>
          <w:b w:val="1"/>
          <w:bCs w:val="1"/>
        </w:rPr>
      </w:pPr>
      <w:r>
        <w:rPr>
          <w:rFonts w:ascii="Times New Roman" w:hAnsi="Times New Roman"/>
          <w:b w:val="1"/>
          <w:bCs w:val="1"/>
          <w:rtl w:val="0"/>
          <w:lang w:val="en-US"/>
        </w:rPr>
        <w:t>United Nations Framework Convention on Climate Change. Paris Agreement. 12 Dec. 2015.</w:t>
      </w:r>
    </w:p>
    <w:p>
      <w:pPr>
        <w:pStyle w:val="Body"/>
        <w:rPr>
          <w:rFonts w:ascii="Times New Roman" w:cs="Times New Roman" w:hAnsi="Times New Roman" w:eastAsia="Times New Roman"/>
        </w:rPr>
      </w:pPr>
      <w:r>
        <w:rPr>
          <w:rFonts w:ascii="Times New Roman" w:hAnsi="Times New Roman"/>
          <w:rtl w:val="0"/>
          <w:lang w:val="en-US"/>
        </w:rPr>
        <w:t>International Monetary Fund. Economic Diversification in Oil-Exporting Arab Countries. Staff Discussion Note, 2016.</w:t>
      </w:r>
    </w:p>
    <w:p>
      <w:pPr>
        <w:pStyle w:val="Body"/>
        <w:rPr>
          <w:rFonts w:ascii="Times New Roman" w:cs="Times New Roman" w:hAnsi="Times New Roman" w:eastAsia="Times New Roman"/>
        </w:rPr>
      </w:pPr>
      <w:r>
        <w:rPr>
          <w:rFonts w:ascii="Times New Roman" w:hAnsi="Times New Roman"/>
          <w:rtl w:val="0"/>
          <w:lang w:val="en-US"/>
        </w:rPr>
        <w:t>World Bank Group. Publications on private-sector development, governance, and structural transformation in resource-dependent economies (various reports).</w:t>
      </w:r>
    </w:p>
    <w:p>
      <w:pPr>
        <w:pStyle w:val="Body"/>
        <w:rPr>
          <w:rFonts w:ascii="Times New Roman" w:cs="Times New Roman" w:hAnsi="Times New Roman" w:eastAsia="Times New Roman"/>
        </w:rPr>
      </w:pPr>
      <w:r>
        <w:rPr>
          <w:rFonts w:ascii="Times New Roman" w:hAnsi="Times New Roman"/>
          <w:rtl w:val="0"/>
          <w:lang w:val="en-US"/>
        </w:rPr>
        <w:t>Extractive Industries Transparency Initiative. The EITI Standard and guidance materials on revenue transparency (various publications).</w:t>
      </w:r>
    </w:p>
    <w:p>
      <w:pPr>
        <w:pStyle w:val="Body"/>
      </w:pPr>
      <w:r>
        <w:rPr>
          <w:rFonts w:ascii="Times New Roman" w:hAnsi="Times New Roman"/>
          <w:rtl w:val="0"/>
          <w:lang w:val="en-US"/>
        </w:rPr>
        <w:t>International Renewable Energy Agency. Reports on renewable energy deployment and policy frameworks relevant to energy transitions (various publications).</w:t>
      </w:r>
    </w:p>
    <w:sectPr>
      <w:headerReference w:type="default" r:id="rId4"/>
      <w:footerReference w:type="default" r:id="rId5"/>
      <w:pgSz w:w="11900" w:h="16840" w:orient="portrait"/>
      <w:pgMar w:top="1134" w:right="843" w:bottom="1134" w:left="85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Times New Roman" w:hAnsi="Times New Roman"/>
        <w:b w:val="1"/>
        <w:bCs w:val="1"/>
        <w:sz w:val="18"/>
        <w:szCs w:val="18"/>
        <w:rtl w:val="0"/>
        <w:lang w:val="en-US"/>
      </w:rPr>
      <w:t>SHASMUN XIII Student Officer</w:t>
    </w:r>
    <w:r>
      <w:rPr>
        <w:rFonts w:ascii="Times New Roman" w:hAnsi="Times New Roman"/>
        <w:sz w:val="18"/>
        <w:szCs w:val="18"/>
        <w:rtl w:val="0"/>
        <w:lang w:val="en-US"/>
      </w:rPr>
      <w:t xml:space="preserve"> </w:t>
    </w:r>
    <w:r>
      <w:rPr>
        <w:rFonts w:ascii="Times New Roman" w:hAnsi="Times New Roman"/>
        <w:b w:val="1"/>
        <w:bCs w:val="1"/>
        <w:sz w:val="18"/>
        <w:szCs w:val="18"/>
        <w:rtl w:val="0"/>
        <w:lang w:val="en-US"/>
      </w:rPr>
      <w:t>Research Report</w:t>
    </w:r>
    <w:r>
      <w:rPr>
        <w:rFonts w:ascii="Times New Roman" w:hAnsi="Times New Roman"/>
        <w:sz w:val="18"/>
        <w:szCs w:val="18"/>
        <w:rtl w:val="0"/>
        <w:lang w:val="en-US"/>
      </w:rPr>
      <w:t xml:space="preserve"> | Page </w:t>
    </w:r>
    <w:r>
      <w:rPr>
        <w:rFonts w:ascii="Times New Roman" w:cs="Times New Roman" w:hAnsi="Times New Roman" w:eastAsia="Times New Roman"/>
        <w:sz w:val="18"/>
        <w:szCs w:val="18"/>
        <w:rtl w:val="0"/>
      </w:rPr>
      <w:fldChar w:fldCharType="begin" w:fldLock="0"/>
    </w:r>
    <w:r>
      <w:rPr>
        <w:rFonts w:ascii="Times New Roman" w:cs="Times New Roman" w:hAnsi="Times New Roman" w:eastAsia="Times New Roman"/>
        <w:sz w:val="18"/>
        <w:szCs w:val="18"/>
        <w:rtl w:val="0"/>
      </w:rPr>
      <w:instrText xml:space="preserve"> PAGE </w:instrText>
    </w:r>
    <w:r>
      <w:rPr>
        <w:rFonts w:ascii="Times New Roman" w:cs="Times New Roman" w:hAnsi="Times New Roman" w:eastAsia="Times New Roman"/>
        <w:sz w:val="18"/>
        <w:szCs w:val="18"/>
        <w:rtl w:val="0"/>
      </w:rPr>
      <w:fldChar w:fldCharType="separate" w:fldLock="0"/>
    </w:r>
    <w:r>
      <w:rPr>
        <w:rFonts w:ascii="Times New Roman" w:cs="Times New Roman" w:hAnsi="Times New Roman" w:eastAsia="Times New Roman"/>
        <w:sz w:val="18"/>
        <w:szCs w:val="18"/>
        <w:rtl w:val="0"/>
      </w:rPr>
    </w:r>
    <w:r>
      <w:rPr>
        <w:rFonts w:ascii="Times New Roman" w:cs="Times New Roman" w:hAnsi="Times New Roman" w:eastAsia="Times New Roman"/>
        <w:sz w:val="18"/>
        <w:szCs w:val="18"/>
        <w:rtl w:val="0"/>
      </w:rPr>
      <w:fldChar w:fldCharType="end" w:fldLock="0"/>
    </w:r>
    <w:r>
      <w:rPr>
        <w:rFonts w:ascii="Times New Roman" w:hAnsi="Times New Roman"/>
        <w:sz w:val="18"/>
        <w:szCs w:val="18"/>
        <w:rtl w:val="0"/>
        <w:lang w:val="en-US"/>
      </w:rPr>
      <w:t xml:space="preserve"> of </w:t>
    </w:r>
    <w:r>
      <w:rPr>
        <w:rFonts w:ascii="Times New Roman" w:cs="Times New Roman" w:hAnsi="Times New Roman" w:eastAsia="Times New Roman"/>
        <w:sz w:val="18"/>
        <w:szCs w:val="18"/>
        <w:rtl w:val="0"/>
      </w:rPr>
      <w:fldChar w:fldCharType="begin" w:fldLock="0"/>
    </w:r>
    <w:r>
      <w:rPr>
        <w:rFonts w:ascii="Times New Roman" w:cs="Times New Roman" w:hAnsi="Times New Roman" w:eastAsia="Times New Roman"/>
        <w:sz w:val="18"/>
        <w:szCs w:val="18"/>
        <w:rtl w:val="0"/>
      </w:rPr>
      <w:instrText xml:space="preserve"> NUMPAGES </w:instrText>
    </w:r>
    <w:r>
      <w:rPr>
        <w:rFonts w:ascii="Times New Roman" w:cs="Times New Roman" w:hAnsi="Times New Roman" w:eastAsia="Times New Roman"/>
        <w:sz w:val="18"/>
        <w:szCs w:val="18"/>
        <w:rtl w:val="0"/>
      </w:rPr>
      <w:fldChar w:fldCharType="separate" w:fldLock="0"/>
    </w:r>
    <w:r>
      <w:rPr>
        <w:rFonts w:ascii="Times New Roman" w:cs="Times New Roman" w:hAnsi="Times New Roman" w:eastAsia="Times New Roman"/>
        <w:sz w:val="18"/>
        <w:szCs w:val="18"/>
        <w:rtl w:val="0"/>
      </w:rPr>
    </w:r>
    <w:r>
      <w:rPr>
        <w:rFonts w:ascii="Times New Roman" w:cs="Times New Roman" w:hAnsi="Times New Roman" w:eastAsia="Times New Roman"/>
        <w:sz w:val="18"/>
        <w:szCs w:val="18"/>
        <w:rtl w:val="0"/>
      </w:rPr>
      <w:fldChar w:fldCharType="end" w:fldLock="0"/>
    </w:r>
    <w:r>
      <w:rPr>
        <w:rFonts w:ascii="Times New Roman" w:cs="Times New Roman" w:hAnsi="Times New Roman" w:eastAsia="Times New Roman"/>
        <w:b w:val="1"/>
        <w:bCs w:val="1"/>
        <w:sz w:val="18"/>
        <w:szCs w:val="18"/>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Fonts w:ascii="Times New Roman" w:hAnsi="Times New Roman"/>
        <w:b w:val="1"/>
        <w:bCs w:val="1"/>
        <w:outline w:val="0"/>
        <w:color w:val="000000"/>
        <w:sz w:val="18"/>
        <w:szCs w:val="18"/>
        <w:u w:color="000000"/>
        <w:rtl w:val="0"/>
        <w:lang w:val="en-US"/>
        <w14:textFill>
          <w14:solidFill>
            <w14:srgbClr w14:val="000000"/>
          </w14:solidFill>
        </w14:textFill>
      </w:rPr>
      <w:t xml:space="preserve">Shanghai American School Pudong Model United Nations </w:t>
    </w:r>
    <w:r>
      <w:rPr>
        <w:rFonts w:ascii="Times New Roman" w:hAnsi="Times New Roman"/>
        <w:b w:val="1"/>
        <w:bCs w:val="1"/>
        <w:outline w:val="0"/>
        <w:color w:val="548dd4"/>
        <w:sz w:val="18"/>
        <w:szCs w:val="18"/>
        <w:u w:color="548dd4"/>
        <w:rtl w:val="0"/>
        <w:lang w:val="en-US"/>
        <w14:textFill>
          <w14:solidFill>
            <w14:srgbClr w14:val="548DD4"/>
          </w14:solidFill>
        </w14:textFill>
      </w:rPr>
      <w:t>2026</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Section Title">
    <w:name w:val="Section Title"/>
    <w:next w:val="Section Title"/>
    <w:pPr>
      <w:keepNext w:val="0"/>
      <w:keepLines w:val="0"/>
      <w:pageBreakBefore w:val="0"/>
      <w:widowControl w:val="1"/>
      <w:shd w:val="clear" w:color="auto" w:fill="auto"/>
      <w:suppressAutoHyphens w:val="1"/>
      <w:bidi w:val="0"/>
      <w:spacing w:before="0" w:after="200" w:line="36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7d0b63"/>
      <w:spacing w:val="0"/>
      <w:kern w:val="0"/>
      <w:position w:val="0"/>
      <w:sz w:val="28"/>
      <w:szCs w:val="28"/>
      <w:u w:val="none" w:color="7d0b63"/>
      <w:shd w:val="nil" w:color="auto" w:fill="auto"/>
      <w:vertAlign w:val="baseline"/>
      <w:lang w:val="en-US"/>
      <w14:textFill>
        <w14:solidFill>
          <w14:srgbClr w14:val="7D0B63"/>
        </w14:solidFill>
      </w14:textFill>
    </w:rPr>
  </w:style>
  <w:style w:type="paragraph" w:styleId="Text of Research Report">
    <w:name w:val="Text of Research Report"/>
    <w:next w:val="Text of Research Report"/>
    <w:pPr>
      <w:keepNext w:val="0"/>
      <w:keepLines w:val="0"/>
      <w:pageBreakBefore w:val="0"/>
      <w:widowControl w:val="1"/>
      <w:shd w:val="clear" w:color="auto" w:fill="auto"/>
      <w:suppressAutoHyphens w:val="1"/>
      <w:bidi w:val="0"/>
      <w:spacing w:before="0" w:after="200" w:line="360" w:lineRule="auto"/>
      <w:ind w:left="0" w:right="0" w:firstLine="72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Key Term">
    <w:name w:val="Key Term"/>
    <w:next w:val="Key Term"/>
    <w:pPr>
      <w:keepNext w:val="0"/>
      <w:keepLines w:val="0"/>
      <w:pageBreakBefore w:val="0"/>
      <w:widowControl w:val="1"/>
      <w:shd w:val="clear" w:color="auto" w:fill="auto"/>
      <w:suppressAutoHyphens w:val="1"/>
      <w:bidi w:val="0"/>
      <w:spacing w:before="0" w:after="200" w:line="36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Sub-heading of Research Report">
    <w:name w:val="Sub-heading of Research Report"/>
    <w:next w:val="Sub-heading of Research Report"/>
    <w:pPr>
      <w:keepNext w:val="0"/>
      <w:keepLines w:val="0"/>
      <w:pageBreakBefore w:val="0"/>
      <w:widowControl w:val="1"/>
      <w:shd w:val="clear" w:color="auto" w:fill="auto"/>
      <w:suppressAutoHyphens w:val="1"/>
      <w:bidi w:val="0"/>
      <w:spacing w:before="0" w:after="200" w:line="36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7d0b63"/>
      <w:spacing w:val="0"/>
      <w:kern w:val="0"/>
      <w:position w:val="0"/>
      <w:sz w:val="22"/>
      <w:szCs w:val="22"/>
      <w:u w:val="none" w:color="7d0b63"/>
      <w:shd w:val="nil" w:color="auto" w:fill="auto"/>
      <w:vertAlign w:val="baseline"/>
      <w:lang w:val="en-US"/>
      <w14:textFill>
        <w14:solidFill>
          <w14:srgbClr w14:val="7D0B63"/>
        </w14:solidFill>
      </w14:textFill>
    </w:rPr>
  </w:style>
  <w:style w:type="paragraph" w:styleId="Sub-sub-heading of Research Report">
    <w:name w:val="Sub-sub-heading of Research Report"/>
    <w:next w:val="Sub-sub-heading of Research Report"/>
    <w:pPr>
      <w:keepNext w:val="0"/>
      <w:keepLines w:val="0"/>
      <w:pageBreakBefore w:val="0"/>
      <w:widowControl w:val="1"/>
      <w:shd w:val="clear" w:color="auto" w:fill="auto"/>
      <w:suppressAutoHyphens w:val="1"/>
      <w:bidi w:val="0"/>
      <w:spacing w:before="0" w:after="200" w:line="360" w:lineRule="auto"/>
      <w:ind w:left="0" w:right="0" w:firstLine="0"/>
      <w:jc w:val="left"/>
      <w:outlineLvl w:val="0"/>
    </w:pPr>
    <w:rPr>
      <w:rFonts w:ascii="Arial" w:cs="Arial Unicode MS" w:hAnsi="Arial" w:eastAsia="Arial Unicode MS"/>
      <w:b w:val="1"/>
      <w:bCs w:val="1"/>
      <w:i w:val="1"/>
      <w:iCs w:val="1"/>
      <w:caps w:val="0"/>
      <w:smallCaps w:val="0"/>
      <w:strike w:val="0"/>
      <w:dstrike w:val="0"/>
      <w:outline w:val="0"/>
      <w:color w:val="7d0b63"/>
      <w:spacing w:val="0"/>
      <w:kern w:val="0"/>
      <w:position w:val="0"/>
      <w:sz w:val="22"/>
      <w:szCs w:val="22"/>
      <w:u w:val="none" w:color="7d0b63"/>
      <w:shd w:val="nil" w:color="auto" w:fill="auto"/>
      <w:vertAlign w:val="baseline"/>
      <w:lang w:val="en-US"/>
      <w14:textFill>
        <w14:solidFill>
          <w14:srgbClr w14:val="7D0B63"/>
        </w14:solidFill>
      </w14:textFill>
    </w:rPr>
  </w:style>
  <w:style w:type="paragraph" w:styleId="Text underneath Sub-sub-heading">
    <w:name w:val="Text underneath Sub-sub-heading"/>
    <w:next w:val="Text underneath Sub-sub-heading"/>
    <w:pPr>
      <w:keepNext w:val="0"/>
      <w:keepLines w:val="0"/>
      <w:pageBreakBefore w:val="0"/>
      <w:widowControl w:val="1"/>
      <w:shd w:val="clear" w:color="auto" w:fill="auto"/>
      <w:suppressAutoHyphens w:val="1"/>
      <w:bidi w:val="0"/>
      <w:spacing w:before="0" w:after="200" w:line="360"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목록 단락1">
    <w:name w:val="목록 단락1"/>
    <w:next w:val="목록 단락1"/>
    <w:pPr>
      <w:keepNext w:val="0"/>
      <w:keepLines w:val="0"/>
      <w:pageBreakBefore w:val="0"/>
      <w:widowControl w:val="1"/>
      <w:shd w:val="clear" w:color="auto" w:fill="auto"/>
      <w:suppressAutoHyphens w:val="1"/>
      <w:bidi w:val="0"/>
      <w:spacing w:before="0" w:after="20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