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6A2016" w:rsidR="00131055" w:rsidP="0880C42D" w:rsidRDefault="00131055" w14:paraId="0AE5698B" wp14:textId="0640D261">
      <w:pPr>
        <w:spacing w:before="240" w:line="360" w:lineRule="auto"/>
        <w:ind w:left="2160" w:hanging="2160"/>
        <w:outlineLvl w:val="0"/>
        <w:rPr>
          <w:rFonts w:ascii="Times New Roman" w:hAnsi="Times New Roman"/>
          <w:sz w:val="26"/>
          <w:szCs w:val="26"/>
          <w:lang w:eastAsia="ko-KR"/>
        </w:rPr>
      </w:pPr>
      <w:r w:rsidRPr="0880C42D" w:rsidR="00131055">
        <w:rPr>
          <w:rFonts w:ascii="Times New Roman" w:hAnsi="Times New Roman"/>
          <w:b w:val="1"/>
          <w:bCs w:val="1"/>
          <w:sz w:val="26"/>
          <w:szCs w:val="26"/>
        </w:rPr>
        <w:t>Forum:</w:t>
      </w:r>
      <w:r>
        <w:tab/>
      </w:r>
      <w:r w:rsidRPr="0880C42D" w:rsidR="5644D13C">
        <w:rPr>
          <w:rFonts w:ascii="Times New Roman" w:hAnsi="Times New Roman"/>
          <w:sz w:val="26"/>
          <w:szCs w:val="26"/>
          <w:lang w:eastAsia="ko-KR"/>
        </w:rPr>
        <w:t>Environment Commission</w:t>
      </w:r>
      <w:r w:rsidRPr="0880C42D" w:rsidR="00131055">
        <w:rPr>
          <w:rFonts w:ascii="Times New Roman" w:hAnsi="Times New Roman"/>
          <w:sz w:val="26"/>
          <w:szCs w:val="26"/>
          <w:lang w:eastAsia="ko-KR"/>
        </w:rPr>
        <w:t xml:space="preserve"> </w:t>
      </w:r>
    </w:p>
    <w:p xmlns:wp14="http://schemas.microsoft.com/office/word/2010/wordml" w:rsidRPr="006A2016" w:rsidR="00131055" w:rsidP="0880C42D" w:rsidRDefault="00131055" w14:paraId="38B0BFAD" wp14:textId="28C6F94B">
      <w:pPr>
        <w:spacing w:line="360" w:lineRule="auto"/>
        <w:ind w:left="2160" w:hanging="2160"/>
        <w:rPr>
          <w:rFonts w:ascii="Times New Roman" w:hAnsi="Times New Roman"/>
          <w:b w:val="1"/>
          <w:bCs w:val="1"/>
          <w:sz w:val="26"/>
          <w:szCs w:val="26"/>
          <w:lang w:eastAsia="ko-KR"/>
        </w:rPr>
      </w:pPr>
      <w:r w:rsidRPr="0880C42D" w:rsidR="00131055">
        <w:rPr>
          <w:rFonts w:ascii="Times New Roman" w:hAnsi="Times New Roman"/>
          <w:b w:val="1"/>
          <w:bCs w:val="1"/>
          <w:sz w:val="26"/>
          <w:szCs w:val="26"/>
        </w:rPr>
        <w:t>Issue:</w:t>
      </w:r>
      <w:r>
        <w:tab/>
      </w:r>
      <w:r w:rsidRPr="0880C42D" w:rsidR="2DDDED89">
        <w:rPr>
          <w:rFonts w:ascii="Times New Roman" w:hAnsi="Times New Roman"/>
          <w:sz w:val="26"/>
          <w:szCs w:val="26"/>
          <w:lang w:eastAsia="ko-KR"/>
        </w:rPr>
        <w:t>Ensuring ethical and sustainable supply chains for critical energy transition materials</w:t>
      </w:r>
    </w:p>
    <w:p xmlns:wp14="http://schemas.microsoft.com/office/word/2010/wordml" w:rsidRPr="006A2016" w:rsidR="00131055" w:rsidP="0880C42D" w:rsidRDefault="00131055" w14:paraId="393A4C3C" wp14:textId="69725BF9">
      <w:pPr>
        <w:spacing w:line="360" w:lineRule="auto"/>
        <w:ind w:left="2160" w:hanging="2160"/>
        <w:rPr>
          <w:rFonts w:ascii="Times New Roman" w:hAnsi="Times New Roman"/>
          <w:sz w:val="26"/>
          <w:szCs w:val="26"/>
          <w:lang w:eastAsia="ko-KR"/>
        </w:rPr>
      </w:pPr>
      <w:r w:rsidRPr="0880C42D" w:rsidR="00131055">
        <w:rPr>
          <w:rFonts w:ascii="Times New Roman" w:hAnsi="Times New Roman"/>
          <w:b w:val="1"/>
          <w:bCs w:val="1"/>
          <w:sz w:val="26"/>
          <w:szCs w:val="26"/>
        </w:rPr>
        <w:t xml:space="preserve">Student </w:t>
      </w:r>
      <w:r w:rsidRPr="0880C42D" w:rsidR="00131055">
        <w:rPr>
          <w:rFonts w:ascii="Times New Roman" w:hAnsi="Times New Roman"/>
          <w:b w:val="1"/>
          <w:bCs w:val="1"/>
          <w:sz w:val="26"/>
          <w:szCs w:val="26"/>
        </w:rPr>
        <w:t>Officer:</w:t>
      </w:r>
      <w:r>
        <w:tab/>
      </w:r>
      <w:r w:rsidRPr="0880C42D" w:rsidR="08B7435E">
        <w:rPr>
          <w:rFonts w:ascii="Times New Roman" w:hAnsi="Times New Roman"/>
          <w:sz w:val="26"/>
          <w:szCs w:val="26"/>
          <w:lang w:eastAsia="ko-KR"/>
        </w:rPr>
        <w:t>Rachel Choi</w:t>
      </w:r>
    </w:p>
    <w:p xmlns:wp14="http://schemas.microsoft.com/office/word/2010/wordml" w:rsidRPr="006A2016" w:rsidR="00DE7183" w:rsidP="0880C42D" w:rsidRDefault="00131055" w14:paraId="1B18B822" wp14:textId="2DD2D937">
      <w:pPr>
        <w:pBdr>
          <w:bottom w:val="single" w:color="FF000000" w:sz="6" w:space="1"/>
        </w:pBdr>
        <w:spacing w:before="120" w:line="360" w:lineRule="auto"/>
        <w:ind w:left="2160" w:hanging="2160"/>
        <w:rPr>
          <w:rFonts w:ascii="Times New Roman" w:hAnsi="Times New Roman"/>
          <w:sz w:val="26"/>
          <w:szCs w:val="26"/>
          <w:lang w:eastAsia="ko-KR"/>
        </w:rPr>
      </w:pPr>
      <w:r w:rsidRPr="0880C42D" w:rsidR="00131055">
        <w:rPr>
          <w:rFonts w:ascii="Times New Roman" w:hAnsi="Times New Roman"/>
          <w:b w:val="1"/>
          <w:bCs w:val="1"/>
          <w:sz w:val="26"/>
          <w:szCs w:val="26"/>
        </w:rPr>
        <w:t>Position:</w:t>
      </w:r>
      <w:r>
        <w:tab/>
      </w:r>
      <w:r w:rsidRPr="0880C42D" w:rsidR="1E9B5DAD">
        <w:rPr>
          <w:rFonts w:ascii="Times New Roman" w:hAnsi="Times New Roman"/>
          <w:sz w:val="26"/>
          <w:szCs w:val="26"/>
          <w:lang w:eastAsia="ko-KR"/>
        </w:rPr>
        <w:t>Deputy President</w:t>
      </w:r>
    </w:p>
    <w:p xmlns:wp14="http://schemas.microsoft.com/office/word/2010/wordml" w:rsidRPr="006A2016" w:rsidR="00131055" w:rsidP="006A2016" w:rsidRDefault="00131055" w14:paraId="3E7A9F1C" wp14:textId="0FA6E90A">
      <w:pPr>
        <w:pStyle w:val="SectionTitle"/>
        <w:rPr>
          <w:rFonts w:ascii="Times New Roman" w:hAnsi="Times New Roman"/>
          <w:color w:val="548DD4"/>
        </w:rPr>
      </w:pPr>
      <w:r w:rsidRPr="0880C42D" w:rsidR="00131055">
        <w:rPr>
          <w:rFonts w:ascii="Times New Roman" w:hAnsi="Times New Roman"/>
          <w:color w:val="548DD4"/>
        </w:rPr>
        <w:t>Introduction</w:t>
      </w:r>
    </w:p>
    <w:p xmlns:wp14="http://schemas.microsoft.com/office/word/2010/wordml" w:rsidRPr="006A2016" w:rsidR="0087176A" w:rsidP="0880C42D" w:rsidRDefault="0087176A" w14:paraId="0A37501D" wp14:textId="23038F96">
      <w:pPr>
        <w:spacing w:line="360" w:lineRule="auto"/>
        <w:ind w:firstLine="720"/>
        <w:rPr>
          <w:rFonts w:ascii="Times New Roman" w:hAnsi="Times New Roman" w:eastAsia="Times New Roman" w:cs="Times New Roman"/>
          <w:b w:val="0"/>
          <w:bCs w:val="0"/>
          <w:i w:val="0"/>
          <w:iCs w:val="0"/>
          <w:caps w:val="0"/>
          <w:smallCaps w:val="0"/>
          <w:noProof w:val="0"/>
          <w:sz w:val="22"/>
          <w:szCs w:val="22"/>
          <w:lang w:val="en-US"/>
        </w:rPr>
      </w:pPr>
      <w:r w:rsidRPr="0880C42D" w:rsidR="55D40732">
        <w:rPr>
          <w:rFonts w:ascii="Times New Roman" w:hAnsi="Times New Roman" w:eastAsia="Times New Roman" w:cs="Times New Roman"/>
          <w:b w:val="0"/>
          <w:bCs w:val="0"/>
          <w:i w:val="0"/>
          <w:iCs w:val="0"/>
          <w:caps w:val="0"/>
          <w:smallCaps w:val="0"/>
          <w:noProof w:val="0"/>
          <w:sz w:val="22"/>
          <w:szCs w:val="22"/>
          <w:lang w:val="en-US"/>
        </w:rPr>
        <w:t xml:space="preserve">The urgency for the global world to switch to renewable energy is rooted in stark climate realities. Fossil fuels </w:t>
      </w:r>
      <w:r w:rsidRPr="0880C42D" w:rsidR="55D40732">
        <w:rPr>
          <w:rFonts w:ascii="Times New Roman" w:hAnsi="Times New Roman" w:eastAsia="Times New Roman" w:cs="Times New Roman"/>
          <w:b w:val="0"/>
          <w:bCs w:val="0"/>
          <w:i w:val="0"/>
          <w:iCs w:val="0"/>
          <w:caps w:val="0"/>
          <w:smallCaps w:val="0"/>
          <w:noProof w:val="0"/>
          <w:sz w:val="22"/>
          <w:szCs w:val="22"/>
          <w:lang w:val="en-US"/>
        </w:rPr>
        <w:t>are responsible for</w:t>
      </w:r>
      <w:r w:rsidRPr="0880C42D" w:rsidR="55D40732">
        <w:rPr>
          <w:rFonts w:ascii="Times New Roman" w:hAnsi="Times New Roman" w:eastAsia="Times New Roman" w:cs="Times New Roman"/>
          <w:b w:val="0"/>
          <w:bCs w:val="0"/>
          <w:i w:val="0"/>
          <w:iCs w:val="0"/>
          <w:caps w:val="0"/>
          <w:smallCaps w:val="0"/>
          <w:noProof w:val="0"/>
          <w:sz w:val="22"/>
          <w:szCs w:val="22"/>
          <w:lang w:val="en-US"/>
        </w:rPr>
        <w:t xml:space="preserve"> </w:t>
      </w:r>
      <w:r w:rsidRPr="0880C42D" w:rsidR="55D40732">
        <w:rPr>
          <w:rFonts w:ascii="Times New Roman" w:hAnsi="Times New Roman" w:eastAsia="Times New Roman" w:cs="Times New Roman"/>
          <w:b w:val="0"/>
          <w:bCs w:val="0"/>
          <w:i w:val="0"/>
          <w:iCs w:val="0"/>
          <w:caps w:val="0"/>
          <w:smallCaps w:val="0"/>
          <w:noProof w:val="0"/>
          <w:sz w:val="22"/>
          <w:szCs w:val="22"/>
          <w:lang w:val="en-US"/>
        </w:rPr>
        <w:t>nearly three-quarters</w:t>
      </w:r>
      <w:r w:rsidRPr="0880C42D" w:rsidR="55D40732">
        <w:rPr>
          <w:rFonts w:ascii="Times New Roman" w:hAnsi="Times New Roman" w:eastAsia="Times New Roman" w:cs="Times New Roman"/>
          <w:b w:val="0"/>
          <w:bCs w:val="0"/>
          <w:i w:val="0"/>
          <w:iCs w:val="0"/>
          <w:caps w:val="0"/>
          <w:smallCaps w:val="0"/>
          <w:noProof w:val="0"/>
          <w:sz w:val="22"/>
          <w:szCs w:val="22"/>
          <w:lang w:val="en-US"/>
        </w:rPr>
        <w:t xml:space="preserve"> of greenhouse gas emissions, driving rising temperatures, and extreme weather. While air pollution for coal, oil, and gas already claims millions of lives each year, renewables now supply close to a third of the world’s electricity. This transition, however, is fundamentally dependent on a suite of Critical Energy Transition Materials (CETMs), such as lithium, cobalt, nickel, copper, and rare earth elements, that form the physical backbone of clean energy technologies. This issue sits at the heart of a difficult paradox: we must extract finite resources from the Earth to build a system that allows us to stop extracting finite resources from the Earth. While the shift aims to support sustainability, the required supply chains often involve environmental degradation, labor exploitation, and intensifying geopolitical weaponization. Consequently, it is</w:t>
      </w:r>
      <w:r w:rsidRPr="0880C42D" w:rsidR="398EB894">
        <w:rPr>
          <w:rFonts w:ascii="Times New Roman" w:hAnsi="Times New Roman" w:eastAsia="Times New Roman" w:cs="Times New Roman"/>
          <w:b w:val="0"/>
          <w:bCs w:val="0"/>
          <w:i w:val="0"/>
          <w:iCs w:val="0"/>
          <w:caps w:val="0"/>
          <w:smallCaps w:val="0"/>
          <w:noProof w:val="0"/>
          <w:sz w:val="22"/>
          <w:szCs w:val="22"/>
          <w:lang w:val="en-US"/>
        </w:rPr>
        <w:t>1</w:t>
      </w:r>
      <w:r w:rsidRPr="0880C42D" w:rsidR="55D40732">
        <w:rPr>
          <w:rFonts w:ascii="Times New Roman" w:hAnsi="Times New Roman" w:eastAsia="Times New Roman" w:cs="Times New Roman"/>
          <w:b w:val="0"/>
          <w:bCs w:val="0"/>
          <w:i w:val="0"/>
          <w:iCs w:val="0"/>
          <w:caps w:val="0"/>
          <w:smallCaps w:val="0"/>
          <w:noProof w:val="0"/>
          <w:sz w:val="22"/>
          <w:szCs w:val="22"/>
          <w:lang w:val="en-US"/>
        </w:rPr>
        <w:t xml:space="preserve"> imperative to analyze the ethical, environmental, and economic challenges of these supply chains and propose cooperative, sustainable solutions.</w:t>
      </w:r>
    </w:p>
    <w:p xmlns:wp14="http://schemas.microsoft.com/office/word/2010/wordml" w:rsidRPr="006A2016" w:rsidR="00131055" w:rsidP="006A2016" w:rsidRDefault="00131055" w14:paraId="620F1C4A" wp14:textId="77777777">
      <w:pPr>
        <w:pStyle w:val="SectionTitle"/>
        <w:rPr>
          <w:rFonts w:ascii="Times New Roman" w:hAnsi="Times New Roman"/>
          <w:color w:val="548DD4"/>
        </w:rPr>
      </w:pPr>
      <w:r w:rsidRPr="0880C42D" w:rsidR="00131055">
        <w:rPr>
          <w:rFonts w:ascii="Times New Roman" w:hAnsi="Times New Roman"/>
          <w:color w:val="548DD4"/>
        </w:rPr>
        <w:t>Definition of Key Terms</w:t>
      </w:r>
      <w:r w:rsidRPr="0880C42D" w:rsidR="006A2016">
        <w:rPr>
          <w:rFonts w:ascii="Times New Roman" w:hAnsi="Times New Roman"/>
          <w:color w:val="548DD4"/>
        </w:rPr>
        <w:t xml:space="preserve"> </w:t>
      </w:r>
    </w:p>
    <w:p w:rsidR="15A8EF77" w:rsidP="0880C42D" w:rsidRDefault="15A8EF77" w14:paraId="79D34563" w14:textId="5DF7014E">
      <w:pPr>
        <w:pStyle w:val="KeyTerm"/>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pPr>
      <w:r w:rsidRPr="0880C42D" w:rsidR="15A8EF7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Critical Energy Transition Materials (CETMs)</w:t>
      </w:r>
    </w:p>
    <w:p w:rsidR="15A8EF77" w:rsidP="0880C42D" w:rsidRDefault="15A8EF77" w14:paraId="2BD3F657" w14:textId="0192E3B1">
      <w:pPr>
        <w:spacing w:line="36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80C42D" w:rsidR="15A8EF7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Critical energy transition materials </w:t>
      </w:r>
      <w:r w:rsidRPr="0880C42D" w:rsidR="15A8EF7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refers</w:t>
      </w:r>
      <w:r w:rsidRPr="0880C42D" w:rsidR="15A8EF7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 the minerals and metals essential for clean energy technologies such as solar panels, wind turbines, and electric vehicle (EV) batteries. Lithium, cobalt, nickel, and rare earth elements are some common examples.</w:t>
      </w:r>
    </w:p>
    <w:p w:rsidR="15A8EF77" w:rsidP="0880C42D" w:rsidRDefault="15A8EF77" w14:paraId="03609717" w14:textId="09C90AC8">
      <w:pPr>
        <w:spacing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15A8EF77">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Supply Chain</w:t>
      </w:r>
    </w:p>
    <w:p w:rsidR="15A8EF77" w:rsidP="0880C42D" w:rsidRDefault="15A8EF77" w14:paraId="1BE0C8FF" w14:textId="4EEC0F10">
      <w:pPr>
        <w:spacing w:line="36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15A8EF7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 supply chain is the entire network of processes and actors involved in extracting, processing, transporting, and delivering materials from mines to consumer products for </w:t>
      </w:r>
      <w:r w:rsidRPr="0880C42D" w:rsidR="15A8EF7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utilization</w:t>
      </w:r>
      <w:r w:rsidRPr="0880C42D" w:rsidR="15A8EF7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For CETMs, supply chains are often global, complex, and geographically concentrated in a few countries. </w:t>
      </w:r>
    </w:p>
    <w:p w:rsidR="15A8EF77" w:rsidP="0880C42D" w:rsidRDefault="15A8EF77" w14:paraId="162C4211" w14:textId="1060034B">
      <w:pPr>
        <w:spacing w:before="0" w:beforeAutospacing="off" w:after="160" w:afterAutospacing="off" w:line="36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15A8EF77">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Battery Passport</w:t>
      </w:r>
    </w:p>
    <w:p w:rsidR="15A8EF77" w:rsidP="0880C42D" w:rsidRDefault="15A8EF77" w14:paraId="064B6E26" w14:textId="55CD920D">
      <w:pPr>
        <w:spacing w:line="36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15A8EF7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 digitized record for batteries that track Environmental, Social, and Governance (ESG) performance, recycled content, and material origin. As of 2025, these have become a vital tool for ensuring transparency in the EU and global markets. </w:t>
      </w:r>
    </w:p>
    <w:p w:rsidR="15A8EF77" w:rsidP="0880C42D" w:rsidRDefault="15A8EF77" w14:paraId="0B309C7A" w14:textId="23ECA410">
      <w:pPr>
        <w:spacing w:before="0" w:beforeAutospacing="off" w:after="160" w:afterAutospacing="off" w:line="36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15A8EF77">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Direct Lithium Extraction (DLE)</w:t>
      </w:r>
    </w:p>
    <w:p w:rsidR="15A8EF77" w:rsidP="0880C42D" w:rsidRDefault="15A8EF77" w14:paraId="0FE467D2" w14:textId="2BF7F848">
      <w:pPr>
        <w:spacing w:line="36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15A8EF7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This is an emerging technological process that extracts lithium from brine using selective membranes, significantly reducing the massive water evaporation required by traditional ponds. </w:t>
      </w:r>
    </w:p>
    <w:p w:rsidR="15A8EF77" w:rsidP="0880C42D" w:rsidRDefault="15A8EF77" w14:paraId="3FA6F505" w14:textId="416452DE">
      <w:pPr>
        <w:spacing w:before="0" w:beforeAutospacing="off" w:after="160" w:afterAutospacing="off" w:line="36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15A8EF77">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Artisanal and Small-Scale Mining (ASM)</w:t>
      </w:r>
    </w:p>
    <w:p w:rsidR="15A8EF77" w:rsidP="0880C42D" w:rsidRDefault="15A8EF77" w14:paraId="72D7B892" w14:textId="036332DC">
      <w:pPr>
        <w:spacing w:line="360" w:lineRule="auto"/>
        <w:ind w:left="0" w:firstLine="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15A8EF7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Artisanal and small-scale mining refers to mining activities carried out by individuals, families, or small groups using basic tools and techniques, often outside formal regulation. ASM is a major source of critical minerals like cobalt, especially in countries such as the Democratic Republic of Congo. While it provides livelihoods for millions, it is </w:t>
      </w:r>
      <w:r w:rsidRPr="0880C42D" w:rsidR="15A8EF7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frequently</w:t>
      </w:r>
      <w:r w:rsidRPr="0880C42D" w:rsidR="15A8EF7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linked to unsafe working conditions, child labor, and environmental degradation.</w:t>
      </w:r>
    </w:p>
    <w:p w:rsidR="15A8EF77" w:rsidP="0880C42D" w:rsidRDefault="15A8EF77" w14:paraId="12717DCA" w14:textId="3B255A5F">
      <w:pPr>
        <w:spacing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15A8EF77">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Circular Economy</w:t>
      </w:r>
    </w:p>
    <w:p w:rsidR="15A8EF77" w:rsidP="0880C42D" w:rsidRDefault="15A8EF77" w14:paraId="53FEE44A" w14:textId="3AF25AD4">
      <w:pPr>
        <w:spacing w:line="36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15A8EF7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Circular</w:t>
      </w:r>
      <w:r w:rsidRPr="0880C42D" w:rsidR="15A8EF7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economy is an economic model that aims to minimize waste and maximize resource efficiency by keeping materials in use for as long as possible. In the context of energy transition materials, this means recycling metals from old batteries, reusing components, and designing products for durability and repair. The circular economy reduces dependence on new mining and lowers environmental impacts.</w:t>
      </w:r>
    </w:p>
    <w:p w:rsidR="35E4685A" w:rsidP="0880C42D" w:rsidRDefault="35E4685A" w14:paraId="35ED12FC" w14:textId="5BD779F1">
      <w:pPr>
        <w:pStyle w:val="Normal"/>
        <w:suppressLineNumbers w:val="0"/>
        <w:bidi w:val="0"/>
        <w:spacing w:before="0" w:beforeAutospacing="off" w:after="200" w:afterAutospacing="off" w:line="360" w:lineRule="auto"/>
        <w:ind w:left="0" w:right="0"/>
        <w:jc w:val="left"/>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0880C42D" w:rsidR="35E4685A">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Due Diligence</w:t>
      </w:r>
    </w:p>
    <w:p w:rsidR="271BBCD2" w:rsidP="0880C42D" w:rsidRDefault="271BBCD2" w14:paraId="06C4C1ED" w14:textId="6184CC25">
      <w:pPr>
        <w:pStyle w:val="Normal"/>
        <w:suppressLineNumbers w:val="0"/>
        <w:bidi w:val="0"/>
        <w:spacing w:before="0" w:beforeAutospacing="off" w:after="200" w:afterAutospacing="off" w:line="360" w:lineRule="auto"/>
        <w:ind w:left="0" w:right="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271BBCD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Due diligence refers to the process by which companies </w:t>
      </w:r>
      <w:r w:rsidRPr="0880C42D" w:rsidR="271BBCD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identify</w:t>
      </w:r>
      <w:r w:rsidRPr="0880C42D" w:rsidR="271BBCD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prevent, mitigate, and account for actual or potential human rights, environmental, and governance risks within their supply chains. In the context of CETMs, due diligence frameworks such as the OECD Guidance require continuous risk assessment, transparency, and corrective a</w:t>
      </w:r>
      <w:r w:rsidRPr="0880C42D" w:rsidR="28FE519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ction rather than one-time compliance. </w:t>
      </w:r>
    </w:p>
    <w:p xmlns:wp14="http://schemas.microsoft.com/office/word/2010/wordml" w:rsidRPr="006A2016" w:rsidR="00131055" w:rsidP="006A2016" w:rsidRDefault="00DE7183" w14:paraId="11D88863" wp14:textId="77777777">
      <w:pPr>
        <w:pStyle w:val="SectionTitle"/>
        <w:rPr>
          <w:rFonts w:ascii="Times New Roman" w:hAnsi="Times New Roman"/>
          <w:color w:val="548DD4"/>
        </w:rPr>
      </w:pPr>
      <w:r w:rsidRPr="0880C42D" w:rsidR="00DE7183">
        <w:rPr>
          <w:rFonts w:ascii="Times New Roman" w:hAnsi="Times New Roman"/>
          <w:color w:val="548DD4"/>
        </w:rPr>
        <w:t>History</w:t>
      </w:r>
      <w:r w:rsidRPr="0880C42D" w:rsidR="006A2016">
        <w:rPr>
          <w:rFonts w:ascii="Times New Roman" w:hAnsi="Times New Roman"/>
          <w:color w:val="548DD4"/>
        </w:rPr>
        <w:t xml:space="preserve"> &amp; Developments </w:t>
      </w:r>
    </w:p>
    <w:p xmlns:wp14="http://schemas.microsoft.com/office/word/2010/wordml" w:rsidRPr="006A2016" w:rsidR="00131055" w:rsidP="0880C42D" w:rsidRDefault="009F5CA3" w14:paraId="0956C494" wp14:textId="7560B730">
      <w:pPr>
        <w:pStyle w:val="Sub-headingofResearchReport"/>
        <w:suppressLineNumbers w:val="0"/>
        <w:tabs>
          <w:tab w:val="clear" w:leader="none" w:pos="8336"/>
          <w:tab w:val="left" w:leader="none" w:pos="7600"/>
        </w:tabs>
        <w:bidi w:val="0"/>
        <w:spacing w:before="0" w:beforeAutospacing="off" w:after="200" w:afterAutospacing="off" w:line="360" w:lineRule="auto"/>
        <w:ind w:left="0" w:right="0"/>
        <w:jc w:val="left"/>
      </w:pPr>
      <w:r w:rsidRPr="0880C42D" w:rsidR="116BF6C9">
        <w:rPr>
          <w:rFonts w:ascii="Times New Roman" w:hAnsi="Times New Roman"/>
          <w:color w:val="548DD4"/>
        </w:rPr>
        <w:t>Acceleration of global demand for critical materials</w:t>
      </w:r>
    </w:p>
    <w:p xmlns:wp14="http://schemas.microsoft.com/office/word/2010/wordml" w:rsidRPr="006A2016" w:rsidR="00131055" w:rsidP="0880C42D" w:rsidRDefault="009F5CA3" w14:paraId="161FD6A3" wp14:textId="0EDC5A3D">
      <w:pPr>
        <w:pStyle w:val="Normal"/>
        <w:suppressLineNumbers w:val="0"/>
        <w:bidi w:val="0"/>
        <w:spacing w:before="0" w:beforeAutospacing="off" w:after="200" w:afterAutospacing="off" w:line="360" w:lineRule="auto"/>
        <w:ind w:left="0" w:right="0"/>
        <w:jc w:val="left"/>
        <w:rPr>
          <w:rFonts w:ascii="Times New Roman" w:hAnsi="Times New Roman"/>
          <w:color w:val="000000" w:themeColor="text1" w:themeTint="FF" w:themeShade="FF"/>
          <w:sz w:val="22"/>
          <w:szCs w:val="22"/>
        </w:rPr>
      </w:pPr>
      <w:r w:rsidRPr="0880C42D" w:rsidR="116BF6C9">
        <w:rPr>
          <w:rFonts w:ascii="Times New Roman" w:hAnsi="Times New Roman"/>
          <w:color w:val="000000" w:themeColor="text1" w:themeTint="FF" w:themeShade="FF"/>
          <w:sz w:val="22"/>
          <w:szCs w:val="22"/>
        </w:rPr>
        <w:t xml:space="preserve">The global energy transition has significantly accelerated demand for critical energy transition materials. In 2024 alone, global lithium demand increased by </w:t>
      </w:r>
      <w:r w:rsidRPr="0880C42D" w:rsidR="116BF6C9">
        <w:rPr>
          <w:rFonts w:ascii="Times New Roman" w:hAnsi="Times New Roman"/>
          <w:color w:val="000000" w:themeColor="text1" w:themeTint="FF" w:themeShade="FF"/>
          <w:sz w:val="22"/>
          <w:szCs w:val="22"/>
        </w:rPr>
        <w:t>nearly 30%</w:t>
      </w:r>
      <w:r w:rsidRPr="0880C42D" w:rsidR="116BF6C9">
        <w:rPr>
          <w:rFonts w:ascii="Times New Roman" w:hAnsi="Times New Roman"/>
          <w:color w:val="000000" w:themeColor="text1" w:themeTint="FF" w:themeShade="FF"/>
          <w:sz w:val="22"/>
          <w:szCs w:val="22"/>
        </w:rPr>
        <w:t xml:space="preserve">, while demand for nickel, cobalt, graphite, and rare earth elements rose by </w:t>
      </w:r>
      <w:r w:rsidRPr="0880C42D" w:rsidR="116BF6C9">
        <w:rPr>
          <w:rFonts w:ascii="Times New Roman" w:hAnsi="Times New Roman"/>
          <w:color w:val="000000" w:themeColor="text1" w:themeTint="FF" w:themeShade="FF"/>
          <w:sz w:val="22"/>
          <w:szCs w:val="22"/>
        </w:rPr>
        <w:t>approximately 6-8</w:t>
      </w:r>
      <w:r w:rsidRPr="0880C42D" w:rsidR="116BF6C9">
        <w:rPr>
          <w:rFonts w:ascii="Times New Roman" w:hAnsi="Times New Roman"/>
          <w:color w:val="000000" w:themeColor="text1" w:themeTint="FF" w:themeShade="FF"/>
          <w:sz w:val="22"/>
          <w:szCs w:val="22"/>
        </w:rPr>
        <w:t>%. Projections indicate that by 2030, electric vehicles will account for more than half of total global lithium deman</w:t>
      </w:r>
      <w:r w:rsidRPr="0880C42D" w:rsidR="4EF68734">
        <w:rPr>
          <w:rFonts w:ascii="Times New Roman" w:hAnsi="Times New Roman"/>
          <w:color w:val="000000" w:themeColor="text1" w:themeTint="FF" w:themeShade="FF"/>
          <w:sz w:val="22"/>
          <w:szCs w:val="22"/>
        </w:rPr>
        <w:t>d, placing strain on existing supply chains and extraction systems. The rapid growth in demand has exposed fundamental weaknesses in current CETM supply chains, including overreliance on geographically concentrated production, limited processing diversi</w:t>
      </w:r>
      <w:r w:rsidRPr="0880C42D" w:rsidR="162EF1C6">
        <w:rPr>
          <w:rFonts w:ascii="Times New Roman" w:hAnsi="Times New Roman"/>
          <w:color w:val="000000" w:themeColor="text1" w:themeTint="FF" w:themeShade="FF"/>
          <w:sz w:val="22"/>
          <w:szCs w:val="22"/>
        </w:rPr>
        <w:t xml:space="preserve">fication, and insufficient ethical oversight. These vulnerabilities have intensified concerns </w:t>
      </w:r>
      <w:r w:rsidRPr="0880C42D" w:rsidR="162EF1C6">
        <w:rPr>
          <w:rFonts w:ascii="Times New Roman" w:hAnsi="Times New Roman"/>
          <w:color w:val="000000" w:themeColor="text1" w:themeTint="FF" w:themeShade="FF"/>
          <w:sz w:val="22"/>
          <w:szCs w:val="22"/>
        </w:rPr>
        <w:t>regarding</w:t>
      </w:r>
      <w:r w:rsidRPr="0880C42D" w:rsidR="162EF1C6">
        <w:rPr>
          <w:rFonts w:ascii="Times New Roman" w:hAnsi="Times New Roman"/>
          <w:color w:val="000000" w:themeColor="text1" w:themeTint="FF" w:themeShade="FF"/>
          <w:sz w:val="22"/>
          <w:szCs w:val="22"/>
        </w:rPr>
        <w:t xml:space="preserve"> environmental sustainability, labor rights, and geopolitical stability, prompting renewed international attention and policy intervention. </w:t>
      </w:r>
    </w:p>
    <w:p xmlns:wp14="http://schemas.microsoft.com/office/word/2010/wordml" w:rsidRPr="006A2016" w:rsidR="00131055" w:rsidP="006A2016" w:rsidRDefault="009F5CA3" w14:paraId="02EB378F" wp14:textId="328F7163">
      <w:pPr>
        <w:pStyle w:val="SectionTitle"/>
      </w:pPr>
      <w:r w:rsidR="162EF1C6">
        <w:drawing>
          <wp:inline xmlns:wp14="http://schemas.microsoft.com/office/word/2010/wordprocessingDrawing" wp14:editId="509031FD" wp14:anchorId="32F7357A">
            <wp:extent cx="5943600" cy="3343275"/>
            <wp:effectExtent l="0" t="0" r="0" b="0"/>
            <wp:docPr id="77446755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74467551" name="Picture 774467551"/>
                    <pic:cNvPicPr/>
                  </pic:nvPicPr>
                  <pic:blipFill>
                    <a:blip xmlns:r="http://schemas.openxmlformats.org/officeDocument/2006/relationships" r:embed="rId1600209186">
                      <a:extLst>
                        <a:ext uri="{28A0092B-C50C-407E-A947-70E740481C1C}">
                          <a14:useLocalDpi xmlns:a14="http://schemas.microsoft.com/office/drawing/2010/main"/>
                        </a:ext>
                      </a:extLst>
                    </a:blip>
                    <a:stretch>
                      <a:fillRect/>
                    </a:stretch>
                  </pic:blipFill>
                  <pic:spPr>
                    <a:xfrm>
                      <a:off x="0" y="0"/>
                      <a:ext cx="5943600" cy="3343275"/>
                    </a:xfrm>
                    <a:prstGeom prst="rect">
                      <a:avLst/>
                    </a:prstGeom>
                  </pic:spPr>
                </pic:pic>
              </a:graphicData>
            </a:graphic>
          </wp:inline>
        </w:drawing>
      </w:r>
    </w:p>
    <w:p xmlns:wp14="http://schemas.microsoft.com/office/word/2010/wordml" w:rsidRPr="006A2016" w:rsidR="00131055" w:rsidP="0880C42D" w:rsidRDefault="00332421" w14:paraId="41E0EB4D" wp14:textId="38F4F08E">
      <w:pPr>
        <w:pStyle w:val="SectionTitle"/>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pPr>
      <w:r w:rsidRPr="0880C42D" w:rsidR="00332421">
        <w:rPr>
          <w:rFonts w:ascii="Times New Roman" w:hAnsi="Times New Roman"/>
          <w:i w:val="1"/>
          <w:iCs w:val="1"/>
          <w:color w:val="auto"/>
          <w:sz w:val="18"/>
          <w:szCs w:val="18"/>
          <w:lang w:eastAsia="ko-KR"/>
        </w:rPr>
        <w:t>Figure #1</w:t>
      </w:r>
      <w:r w:rsidRPr="0880C42D" w:rsidR="00131055">
        <w:rPr>
          <w:rFonts w:ascii="Times New Roman" w:hAnsi="Times New Roman"/>
          <w:i w:val="1"/>
          <w:iCs w:val="1"/>
          <w:color w:val="auto"/>
          <w:sz w:val="18"/>
          <w:szCs w:val="18"/>
          <w:lang w:eastAsia="ko-KR"/>
        </w:rPr>
        <w:t xml:space="preserve">: </w:t>
      </w:r>
      <w:r w:rsidRPr="0880C42D" w:rsidR="7270870D">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Comparison of mineral requirements for electric vs. Conventional vehicles, illustrating the increased mineral intensity of the green energy transition.</w:t>
      </w:r>
    </w:p>
    <w:p xmlns:wp14="http://schemas.microsoft.com/office/word/2010/wordml" w:rsidRPr="006A2016" w:rsidR="00DE7183" w:rsidP="0880C42D" w:rsidRDefault="00DE7183" w14:paraId="3A12D800" wp14:textId="5B7F62E9">
      <w:pPr>
        <w:pStyle w:val="Sub-headingofResearchReport"/>
        <w:suppressLineNumbers w:val="0"/>
        <w:tabs>
          <w:tab w:val="clear" w:leader="none" w:pos="8336"/>
          <w:tab w:val="left" w:leader="none" w:pos="7600"/>
        </w:tabs>
        <w:bidi w:val="0"/>
        <w:spacing w:before="0" w:beforeAutospacing="off" w:after="200" w:afterAutospacing="off" w:line="360" w:lineRule="auto"/>
        <w:ind w:left="0" w:right="0"/>
        <w:jc w:val="left"/>
      </w:pPr>
      <w:r w:rsidRPr="0880C42D" w:rsidR="7FEA743A">
        <w:rPr>
          <w:rFonts w:ascii="Times New Roman" w:hAnsi="Times New Roman"/>
          <w:color w:val="548DD4"/>
        </w:rPr>
        <w:t>Geographic concentration of resources and processing capacity</w:t>
      </w:r>
    </w:p>
    <w:p xmlns:wp14="http://schemas.microsoft.com/office/word/2010/wordml" w:rsidRPr="006A2016" w:rsidR="00DE7183" w:rsidP="0880C42D" w:rsidRDefault="00DE7183" w14:paraId="17FA1E32" wp14:textId="123A3513">
      <w:pPr>
        <w:pStyle w:val="Sub-sub-headingofResearchReport"/>
        <w:suppressLineNumbers w:val="0"/>
        <w:bidi w:val="0"/>
        <w:spacing w:before="0" w:beforeAutospacing="off" w:after="160" w:afterAutospacing="off" w:line="360" w:lineRule="auto"/>
        <w:ind w:left="0" w:right="0" w:firstLine="720"/>
        <w:jc w:val="left"/>
        <w:rPr>
          <w:rFonts w:ascii="Times New Roman" w:hAnsi="Times New Roman" w:eastAsia="Times New Roman" w:cs="Times New Roman"/>
          <w:b w:val="0"/>
          <w:bCs w:val="0"/>
          <w:i w:val="0"/>
          <w:iCs w:val="0"/>
          <w:caps w:val="0"/>
          <w:smallCaps w:val="0"/>
          <w:noProof w:val="0"/>
          <w:color w:val="auto"/>
          <w:sz w:val="22"/>
          <w:szCs w:val="22"/>
          <w:lang w:val="en-US"/>
        </w:rPr>
      </w:pPr>
      <w:r w:rsidRPr="0880C42D" w:rsidR="7FEA743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global supply of CETMs is highly geographically concentrated, creating structural vulnerabilities within supply chains. For example, the Democratic Republic of Congo (DRC) dominates cobalt production, producing about 70% of the world’s cobalt, much of it through artisanal and small-scale mining. The “Lithium Triangle” of Chile, Argentina, and Bolivia holds over 50% of global lithium reserves, with Chile alone accounting for </w:t>
      </w:r>
      <w:r w:rsidRPr="0880C42D" w:rsidR="7FEA743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nearly 30%</w:t>
      </w:r>
      <w:r w:rsidRPr="0880C42D" w:rsidR="7FEA743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of global production. </w:t>
      </w:r>
      <w:r w:rsidRPr="0880C42D" w:rsidR="7FEA743A">
        <w:rPr>
          <w:rFonts w:ascii="Times New Roman" w:hAnsi="Times New Roman" w:eastAsia="Times New Roman" w:cs="Times New Roman"/>
          <w:b w:val="0"/>
          <w:bCs w:val="0"/>
          <w:i w:val="0"/>
          <w:iCs w:val="0"/>
          <w:caps w:val="0"/>
          <w:smallCaps w:val="0"/>
          <w:noProof w:val="0"/>
          <w:color w:val="auto"/>
          <w:sz w:val="22"/>
          <w:szCs w:val="22"/>
          <w:lang w:val="en-US"/>
        </w:rPr>
        <w:t xml:space="preserve">In addition to extraction, processing and refining capacities are even more concentrated than raw material production. Certain nations, such as China, </w:t>
      </w:r>
      <w:r w:rsidRPr="0880C42D" w:rsidR="7FEA743A">
        <w:rPr>
          <w:rFonts w:ascii="Times New Roman" w:hAnsi="Times New Roman" w:eastAsia="Times New Roman" w:cs="Times New Roman"/>
          <w:b w:val="0"/>
          <w:bCs w:val="0"/>
          <w:i w:val="0"/>
          <w:iCs w:val="0"/>
          <w:caps w:val="0"/>
          <w:smallCaps w:val="0"/>
          <w:noProof w:val="0"/>
          <w:color w:val="auto"/>
          <w:sz w:val="22"/>
          <w:szCs w:val="22"/>
          <w:lang w:val="en-US"/>
        </w:rPr>
        <w:t>possess</w:t>
      </w:r>
      <w:r w:rsidRPr="0880C42D" w:rsidR="7FEA743A">
        <w:rPr>
          <w:rFonts w:ascii="Times New Roman" w:hAnsi="Times New Roman" w:eastAsia="Times New Roman" w:cs="Times New Roman"/>
          <w:b w:val="0"/>
          <w:bCs w:val="0"/>
          <w:i w:val="0"/>
          <w:iCs w:val="0"/>
          <w:caps w:val="0"/>
          <w:smallCaps w:val="0"/>
          <w:noProof w:val="0"/>
          <w:color w:val="auto"/>
          <w:sz w:val="22"/>
          <w:szCs w:val="22"/>
          <w:lang w:val="en-US"/>
        </w:rPr>
        <w:t xml:space="preserve"> dominant control over midstream processing, controlling </w:t>
      </w:r>
      <w:r w:rsidRPr="0880C42D" w:rsidR="7FEA743A">
        <w:rPr>
          <w:rFonts w:ascii="Times New Roman" w:hAnsi="Times New Roman" w:eastAsia="Times New Roman" w:cs="Times New Roman"/>
          <w:b w:val="0"/>
          <w:bCs w:val="0"/>
          <w:i w:val="0"/>
          <w:iCs w:val="0"/>
          <w:caps w:val="0"/>
          <w:smallCaps w:val="0"/>
          <w:noProof w:val="0"/>
          <w:color w:val="auto"/>
          <w:sz w:val="22"/>
          <w:szCs w:val="22"/>
          <w:lang w:val="en-US"/>
        </w:rPr>
        <w:t>nearly 90%</w:t>
      </w:r>
      <w:r w:rsidRPr="0880C42D" w:rsidR="7FEA743A">
        <w:rPr>
          <w:rFonts w:ascii="Times New Roman" w:hAnsi="Times New Roman" w:eastAsia="Times New Roman" w:cs="Times New Roman"/>
          <w:b w:val="0"/>
          <w:bCs w:val="0"/>
          <w:i w:val="0"/>
          <w:iCs w:val="0"/>
          <w:caps w:val="0"/>
          <w:smallCaps w:val="0"/>
          <w:noProof w:val="0"/>
          <w:color w:val="auto"/>
          <w:sz w:val="22"/>
          <w:szCs w:val="22"/>
          <w:lang w:val="en-US"/>
        </w:rPr>
        <w:t xml:space="preserve"> of processing capacity. In 2025, this led to mineral diplomacy, where export controls on graphite and gallium were used as leverage in international disputes, increasing the risk of supply chain fragmentation.</w:t>
      </w:r>
    </w:p>
    <w:p xmlns:wp14="http://schemas.microsoft.com/office/word/2010/wordml" w:rsidRPr="006A2016" w:rsidR="00DE7183" w:rsidP="0880C42D" w:rsidRDefault="00DE7183" w14:paraId="76012FEA" wp14:textId="45B4C5D4">
      <w:pPr>
        <w:pStyle w:val="Sub-headingofResearchReport"/>
        <w:suppressLineNumbers w:val="0"/>
        <w:tabs>
          <w:tab w:val="clear" w:leader="none" w:pos="8336"/>
          <w:tab w:val="left" w:leader="none" w:pos="7600"/>
        </w:tabs>
        <w:bidi w:val="0"/>
        <w:spacing w:before="0" w:beforeAutospacing="off" w:after="200" w:afterAutospacing="off" w:line="360" w:lineRule="auto"/>
        <w:ind w:left="0" w:right="0"/>
        <w:jc w:val="left"/>
      </w:pPr>
      <w:r w:rsidRPr="0880C42D" w:rsidR="7FEA743A">
        <w:rPr>
          <w:rFonts w:ascii="Times New Roman" w:hAnsi="Times New Roman"/>
          <w:color w:val="548DD4"/>
        </w:rPr>
        <w:t>Environmental consequences</w:t>
      </w:r>
    </w:p>
    <w:p xmlns:wp14="http://schemas.microsoft.com/office/word/2010/wordml" w:rsidRPr="006A2016" w:rsidR="00DE7183" w:rsidP="0880C42D" w:rsidRDefault="00DE7183" w14:paraId="6DE27C82" wp14:textId="741D3C04">
      <w:pPr>
        <w:pStyle w:val="Sub-sub-headingofResearchReport"/>
        <w:suppressLineNumbers w:val="0"/>
        <w:bidi w:val="0"/>
        <w:spacing w:before="0" w:beforeAutospacing="off" w:after="200" w:afterAutospacing="off" w:line="360" w:lineRule="auto"/>
        <w:ind w:left="0" w:right="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7FEA743A">
        <w:rPr>
          <w:rFonts w:ascii="Times New Roman" w:hAnsi="Times New Roman"/>
          <w:color w:val="548DD4"/>
        </w:rPr>
        <w:t>Water depletion and land degradation</w:t>
      </w:r>
    </w:p>
    <w:p xmlns:wp14="http://schemas.microsoft.com/office/word/2010/wordml" w:rsidRPr="006A2016" w:rsidR="00DE7183" w:rsidP="0880C42D" w:rsidRDefault="00DE7183" w14:paraId="081063AE" wp14:textId="1BCBAEB3">
      <w:pPr>
        <w:pStyle w:val="Sub-sub-headingofResearchReport"/>
        <w:suppressLineNumbers w:val="0"/>
        <w:bidi w:val="0"/>
        <w:spacing w:before="0" w:beforeAutospacing="off" w:after="200" w:afterAutospacing="off" w:line="360" w:lineRule="auto"/>
        <w:ind w:left="720" w:right="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176E47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extraction and processing of these critical energy transition materials also carry serious environmental consequences. Lithium brine extraction requires large volumes of water (up to </w:t>
      </w:r>
      <w:r w:rsidRPr="0880C42D" w:rsidR="176E47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500,000 gallons</w:t>
      </w:r>
      <w:r w:rsidRPr="0880C42D" w:rsidR="176E47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per ton of lithium), placing immense strain on dry ecosystems in Chile's Atacama Desert and threatening local water security. The Water-Energy Nexus has become a tipping point in 2026, as local communities protest the depletion of ancestral water tables.</w:t>
      </w:r>
    </w:p>
    <w:p xmlns:wp14="http://schemas.microsoft.com/office/word/2010/wordml" w:rsidRPr="006A2016" w:rsidR="00DE7183" w:rsidP="0880C42D" w:rsidRDefault="00DE7183" w14:paraId="4B361AD3" wp14:textId="2816EF9B">
      <w:pPr>
        <w:pStyle w:val="Sub-sub-headingofResearchReport"/>
        <w:suppressLineNumbers w:val="0"/>
        <w:bidi w:val="0"/>
        <w:spacing w:before="0" w:beforeAutospacing="off" w:after="200" w:afterAutospacing="off" w:line="360" w:lineRule="auto"/>
        <w:ind w:left="0" w:right="0" w:firstLine="720"/>
        <w:jc w:val="left"/>
        <w:rPr>
          <w:rFonts w:ascii="Times New Roman" w:hAnsi="Times New Roman" w:eastAsia="Times New Roman" w:cs="Times New Roman"/>
          <w:b w:val="0"/>
          <w:bCs w:val="0"/>
          <w:i w:val="0"/>
          <w:iCs w:val="0"/>
          <w:caps w:val="0"/>
          <w:smallCaps w:val="0"/>
          <w:noProof w:val="0"/>
          <w:sz w:val="24"/>
          <w:szCs w:val="24"/>
          <w:lang w:val="en-US"/>
        </w:rPr>
      </w:pPr>
      <w:r w:rsidRPr="0880C42D" w:rsidR="176E47F4">
        <w:rPr>
          <w:rFonts w:ascii="Times New Roman" w:hAnsi="Times New Roman"/>
          <w:color w:val="548DD4"/>
        </w:rPr>
        <w:t>Pollution and ecological damage</w:t>
      </w:r>
    </w:p>
    <w:p xmlns:wp14="http://schemas.microsoft.com/office/word/2010/wordml" w:rsidRPr="006A2016" w:rsidR="00DE7183" w:rsidP="0880C42D" w:rsidRDefault="00DE7183" w14:paraId="6A05A809" wp14:textId="2EA75645">
      <w:pPr>
        <w:pStyle w:val="Sub-sub-headingofResearchReport"/>
        <w:suppressLineNumbers w:val="0"/>
        <w:bidi w:val="0"/>
        <w:spacing w:before="0" w:beforeAutospacing="off" w:after="200" w:afterAutospacing="off" w:line="360" w:lineRule="auto"/>
        <w:ind w:left="720" w:right="0" w:firstLine="720"/>
        <w:jc w:val="left"/>
        <w:rPr>
          <w:rFonts w:ascii="Times New Roman" w:hAnsi="Times New Roman" w:eastAsia="Times New Roman" w:cs="Times New Roman"/>
          <w:b w:val="0"/>
          <w:bCs w:val="0"/>
          <w:i w:val="0"/>
          <w:iCs w:val="0"/>
          <w:caps w:val="0"/>
          <w:smallCaps w:val="0"/>
          <w:noProof w:val="0"/>
          <w:color w:val="auto"/>
          <w:sz w:val="22"/>
          <w:szCs w:val="22"/>
          <w:lang w:val="en-US"/>
        </w:rPr>
      </w:pPr>
      <w:r w:rsidRPr="0880C42D" w:rsidR="176E47F4">
        <w:rPr>
          <w:rFonts w:ascii="Times New Roman" w:hAnsi="Times New Roman" w:eastAsia="Times New Roman" w:cs="Times New Roman"/>
          <w:b w:val="0"/>
          <w:bCs w:val="0"/>
          <w:i w:val="0"/>
          <w:iCs w:val="0"/>
          <w:caps w:val="0"/>
          <w:smallCaps w:val="0"/>
          <w:noProof w:val="0"/>
          <w:color w:val="auto"/>
          <w:sz w:val="22"/>
          <w:szCs w:val="22"/>
          <w:lang w:val="en-US"/>
        </w:rPr>
        <w:t xml:space="preserve">Rare earth element processing also generates toxic byproducts such as radioactive waste that can contaminate soil and groundwater if not </w:t>
      </w:r>
      <w:r w:rsidRPr="0880C42D" w:rsidR="176E47F4">
        <w:rPr>
          <w:rFonts w:ascii="Times New Roman" w:hAnsi="Times New Roman" w:eastAsia="Times New Roman" w:cs="Times New Roman"/>
          <w:b w:val="0"/>
          <w:bCs w:val="0"/>
          <w:i w:val="0"/>
          <w:iCs w:val="0"/>
          <w:caps w:val="0"/>
          <w:smallCaps w:val="0"/>
          <w:noProof w:val="0"/>
          <w:color w:val="auto"/>
          <w:sz w:val="22"/>
          <w:szCs w:val="22"/>
          <w:lang w:val="en-US"/>
        </w:rPr>
        <w:t>properly managed</w:t>
      </w:r>
      <w:r w:rsidRPr="0880C42D" w:rsidR="176E47F4">
        <w:rPr>
          <w:rFonts w:ascii="Times New Roman" w:hAnsi="Times New Roman" w:eastAsia="Times New Roman" w:cs="Times New Roman"/>
          <w:b w:val="0"/>
          <w:bCs w:val="0"/>
          <w:i w:val="0"/>
          <w:iCs w:val="0"/>
          <w:caps w:val="0"/>
          <w:smallCaps w:val="0"/>
          <w:noProof w:val="0"/>
          <w:color w:val="auto"/>
          <w:sz w:val="22"/>
          <w:szCs w:val="22"/>
          <w:lang w:val="en-US"/>
        </w:rPr>
        <w:t xml:space="preserve">, while open-pit mining for cobalt and nickel contributes to deforestation, habitat destruction, and long-term land degradation. While the energy transition aims to mitigate climate change, unsustainable mining practices risk undermining these </w:t>
      </w:r>
      <w:r w:rsidRPr="0880C42D" w:rsidR="176E47F4">
        <w:rPr>
          <w:rFonts w:ascii="Times New Roman" w:hAnsi="Times New Roman" w:eastAsia="Times New Roman" w:cs="Times New Roman"/>
          <w:b w:val="0"/>
          <w:bCs w:val="0"/>
          <w:i w:val="0"/>
          <w:iCs w:val="0"/>
          <w:caps w:val="0"/>
          <w:smallCaps w:val="0"/>
          <w:noProof w:val="0"/>
          <w:color w:val="auto"/>
          <w:sz w:val="22"/>
          <w:szCs w:val="22"/>
          <w:lang w:val="en-US"/>
        </w:rPr>
        <w:t>objectives</w:t>
      </w:r>
      <w:r w:rsidRPr="0880C42D" w:rsidR="176E47F4">
        <w:rPr>
          <w:rFonts w:ascii="Times New Roman" w:hAnsi="Times New Roman" w:eastAsia="Times New Roman" w:cs="Times New Roman"/>
          <w:b w:val="0"/>
          <w:bCs w:val="0"/>
          <w:i w:val="0"/>
          <w:iCs w:val="0"/>
          <w:caps w:val="0"/>
          <w:smallCaps w:val="0"/>
          <w:noProof w:val="0"/>
          <w:color w:val="auto"/>
          <w:sz w:val="22"/>
          <w:szCs w:val="22"/>
          <w:lang w:val="en-US"/>
        </w:rPr>
        <w:t xml:space="preserve"> by shifting environmental harm from fossil fuel consumption to mineral extraction, creating a new set of environmental challenges.</w:t>
      </w:r>
    </w:p>
    <w:p w:rsidR="176E47F4" w:rsidP="0880C42D" w:rsidRDefault="176E47F4" w14:paraId="199153E9" w14:textId="42C7EBA2">
      <w:pPr>
        <w:pStyle w:val="Sub-headingofResearchReport"/>
        <w:suppressLineNumbers w:val="0"/>
        <w:tabs>
          <w:tab w:val="clear" w:leader="none" w:pos="8336"/>
          <w:tab w:val="left" w:leader="none" w:pos="7600"/>
        </w:tabs>
        <w:bidi w:val="0"/>
        <w:spacing w:before="0" w:beforeAutospacing="off" w:after="200" w:afterAutospacing="off" w:line="360" w:lineRule="auto"/>
        <w:ind w:left="0" w:right="0"/>
        <w:jc w:val="left"/>
      </w:pPr>
      <w:r w:rsidRPr="0880C42D" w:rsidR="176E47F4">
        <w:rPr>
          <w:rFonts w:ascii="Times New Roman" w:hAnsi="Times New Roman"/>
          <w:color w:val="548DD4"/>
        </w:rPr>
        <w:t>Social and ethical issues</w:t>
      </w:r>
    </w:p>
    <w:p w:rsidR="176E47F4" w:rsidP="0880C42D" w:rsidRDefault="176E47F4" w14:paraId="2C0CC006" w14:textId="600F6FBD">
      <w:pPr>
        <w:bidi w:val="0"/>
        <w:spacing w:before="0" w:beforeAutospacing="off" w:after="160" w:afterAutospacing="off" w:line="360" w:lineRule="auto"/>
        <w:ind w:left="0" w:right="0" w:firstLine="720"/>
        <w:jc w:val="left"/>
        <w:rPr>
          <w:rFonts w:ascii="Times New Roman" w:hAnsi="Times New Roman" w:eastAsia="Times New Roman" w:cs="Times New Roman"/>
          <w:b w:val="0"/>
          <w:bCs w:val="0"/>
          <w:i w:val="0"/>
          <w:iCs w:val="0"/>
          <w:caps w:val="0"/>
          <w:smallCaps w:val="0"/>
          <w:noProof w:val="0"/>
          <w:sz w:val="22"/>
          <w:szCs w:val="22"/>
          <w:lang w:val="en-US"/>
        </w:rPr>
      </w:pPr>
      <w:r w:rsidRPr="0880C42D" w:rsidR="176E47F4">
        <w:rPr>
          <w:rFonts w:ascii="Times New Roman" w:hAnsi="Times New Roman" w:eastAsia="Times New Roman" w:cs="Times New Roman"/>
          <w:b w:val="0"/>
          <w:bCs w:val="0"/>
          <w:i w:val="0"/>
          <w:iCs w:val="0"/>
          <w:caps w:val="0"/>
          <w:smallCaps w:val="0"/>
          <w:noProof w:val="0"/>
          <w:sz w:val="22"/>
          <w:szCs w:val="22"/>
          <w:lang w:val="en-US"/>
        </w:rPr>
        <w:t xml:space="preserve">Beyond environmental concerns, ethical concerns </w:t>
      </w:r>
      <w:r w:rsidRPr="0880C42D" w:rsidR="176E47F4">
        <w:rPr>
          <w:rFonts w:ascii="Times New Roman" w:hAnsi="Times New Roman" w:eastAsia="Times New Roman" w:cs="Times New Roman"/>
          <w:b w:val="0"/>
          <w:bCs w:val="0"/>
          <w:i w:val="0"/>
          <w:iCs w:val="0"/>
          <w:caps w:val="0"/>
          <w:smallCaps w:val="0"/>
          <w:noProof w:val="0"/>
          <w:sz w:val="22"/>
          <w:szCs w:val="22"/>
          <w:lang w:val="en-US"/>
        </w:rPr>
        <w:t>remain</w:t>
      </w:r>
      <w:r w:rsidRPr="0880C42D" w:rsidR="176E47F4">
        <w:rPr>
          <w:rFonts w:ascii="Times New Roman" w:hAnsi="Times New Roman" w:eastAsia="Times New Roman" w:cs="Times New Roman"/>
          <w:b w:val="0"/>
          <w:bCs w:val="0"/>
          <w:i w:val="0"/>
          <w:iCs w:val="0"/>
          <w:caps w:val="0"/>
          <w:smallCaps w:val="0"/>
          <w:noProof w:val="0"/>
          <w:sz w:val="22"/>
          <w:szCs w:val="22"/>
          <w:lang w:val="en-US"/>
        </w:rPr>
        <w:t xml:space="preserve"> a central challenge within critical mineral supply chains. In regions where governance structures are weak, mining activities have been linked to unsafe working conditions, inadequate labor protections, and exploitative practices within artisanal and small-scale mining sectors. Workers in these environments often lack access to formal contracts and health protection, leaving them vulnerable to abuse. ASM, particularly in cobalt supply chains, is </w:t>
      </w:r>
      <w:r w:rsidRPr="0880C42D" w:rsidR="176E47F4">
        <w:rPr>
          <w:rFonts w:ascii="Times New Roman" w:hAnsi="Times New Roman" w:eastAsia="Times New Roman" w:cs="Times New Roman"/>
          <w:b w:val="0"/>
          <w:bCs w:val="0"/>
          <w:i w:val="0"/>
          <w:iCs w:val="0"/>
          <w:caps w:val="0"/>
          <w:smallCaps w:val="0"/>
          <w:noProof w:val="0"/>
          <w:sz w:val="22"/>
          <w:szCs w:val="22"/>
          <w:lang w:val="en-US"/>
        </w:rPr>
        <w:t>frequently</w:t>
      </w:r>
      <w:r w:rsidRPr="0880C42D" w:rsidR="176E47F4">
        <w:rPr>
          <w:rFonts w:ascii="Times New Roman" w:hAnsi="Times New Roman" w:eastAsia="Times New Roman" w:cs="Times New Roman"/>
          <w:b w:val="0"/>
          <w:bCs w:val="0"/>
          <w:i w:val="0"/>
          <w:iCs w:val="0"/>
          <w:caps w:val="0"/>
          <w:smallCaps w:val="0"/>
          <w:noProof w:val="0"/>
          <w:sz w:val="22"/>
          <w:szCs w:val="22"/>
          <w:lang w:val="en-US"/>
        </w:rPr>
        <w:t xml:space="preserve"> associated with child labor and unsafe working conditions. Weak governance and corruption in these regions further hinder accountability and perpetuate exploitation. These issues highlight the urgent need for due diligence frameworks, such as the OECD’s guidance on responsible mineral supply chains, to ensure human rights are respected.</w:t>
      </w:r>
    </w:p>
    <w:p w:rsidR="176E47F4" w:rsidP="0880C42D" w:rsidRDefault="176E47F4" w14:paraId="2AE8E916" w14:textId="122D6F62">
      <w:pPr>
        <w:pStyle w:val="Sub-headingofResearchReport"/>
        <w:suppressLineNumbers w:val="0"/>
        <w:tabs>
          <w:tab w:val="clear" w:leader="none" w:pos="8336"/>
          <w:tab w:val="left" w:leader="none" w:pos="7600"/>
        </w:tabs>
        <w:bidi w:val="0"/>
        <w:spacing w:before="0" w:beforeAutospacing="off" w:after="200" w:afterAutospacing="off" w:line="360" w:lineRule="auto"/>
        <w:ind w:left="0" w:right="0"/>
        <w:jc w:val="left"/>
      </w:pPr>
      <w:r w:rsidRPr="0880C42D" w:rsidR="176E47F4">
        <w:rPr>
          <w:rFonts w:ascii="Times New Roman" w:hAnsi="Times New Roman"/>
          <w:color w:val="548DD4"/>
        </w:rPr>
        <w:t>Geopolitical tensions surrounding resource control and monopolies</w:t>
      </w:r>
    </w:p>
    <w:p w:rsidR="176E47F4" w:rsidP="0880C42D" w:rsidRDefault="176E47F4" w14:paraId="534FCEFD" w14:textId="4F4F857F">
      <w:pPr>
        <w:bidi w:val="0"/>
        <w:spacing w:before="0" w:beforeAutospacing="off" w:after="160" w:afterAutospacing="off" w:line="360" w:lineRule="auto"/>
        <w:ind w:left="0" w:right="0" w:firstLine="720"/>
        <w:jc w:val="left"/>
        <w:rPr>
          <w:rFonts w:ascii="Times New Roman" w:hAnsi="Times New Roman" w:eastAsia="Times New Roman" w:cs="Times New Roman"/>
          <w:b w:val="0"/>
          <w:bCs w:val="0"/>
          <w:i w:val="0"/>
          <w:iCs w:val="0"/>
          <w:caps w:val="0"/>
          <w:smallCaps w:val="0"/>
          <w:noProof w:val="0"/>
          <w:sz w:val="22"/>
          <w:szCs w:val="22"/>
          <w:lang w:val="en-US"/>
        </w:rPr>
      </w:pPr>
      <w:r w:rsidRPr="0880C42D" w:rsidR="176E47F4">
        <w:rPr>
          <w:rFonts w:ascii="Times New Roman" w:hAnsi="Times New Roman" w:eastAsia="Times New Roman" w:cs="Times New Roman"/>
          <w:b w:val="0"/>
          <w:bCs w:val="0"/>
          <w:i w:val="0"/>
          <w:iCs w:val="0"/>
          <w:caps w:val="0"/>
          <w:smallCaps w:val="0"/>
          <w:noProof w:val="0"/>
          <w:sz w:val="22"/>
          <w:szCs w:val="22"/>
          <w:lang w:val="en-US"/>
        </w:rPr>
        <w:t xml:space="preserve">The strategic importance of critical energy transition materials has elevated them to a matter of national security and geopolitical competition. States with dominant control over extraction or processing capabilities may </w:t>
      </w:r>
      <w:r w:rsidRPr="0880C42D" w:rsidR="176E47F4">
        <w:rPr>
          <w:rFonts w:ascii="Times New Roman" w:hAnsi="Times New Roman" w:eastAsia="Times New Roman" w:cs="Times New Roman"/>
          <w:b w:val="0"/>
          <w:bCs w:val="0"/>
          <w:i w:val="0"/>
          <w:iCs w:val="0"/>
          <w:caps w:val="0"/>
          <w:smallCaps w:val="0"/>
          <w:noProof w:val="0"/>
          <w:sz w:val="22"/>
          <w:szCs w:val="22"/>
          <w:lang w:val="en-US"/>
        </w:rPr>
        <w:t>leverage</w:t>
      </w:r>
      <w:r w:rsidRPr="0880C42D" w:rsidR="176E47F4">
        <w:rPr>
          <w:rFonts w:ascii="Times New Roman" w:hAnsi="Times New Roman" w:eastAsia="Times New Roman" w:cs="Times New Roman"/>
          <w:b w:val="0"/>
          <w:bCs w:val="0"/>
          <w:i w:val="0"/>
          <w:iCs w:val="0"/>
          <w:caps w:val="0"/>
          <w:smallCaps w:val="0"/>
          <w:noProof w:val="0"/>
          <w:sz w:val="22"/>
          <w:szCs w:val="22"/>
          <w:lang w:val="en-US"/>
        </w:rPr>
        <w:t xml:space="preserve"> these positions to gain economic or political influence. This has raised concerns over monopolistic practices, export restrictions, and supply manipulation, particularly during periods of diplomatic tension. As countries accelerate their transitions toward renewable energy systems, competition for secure and diversified access to materials has intensified. This has contributed to the formation of resource-based alliances, trade barriers, and strategic stockpiling, further complicating international cooperation and increasing the risk of supply chain fragmentation.</w:t>
      </w:r>
    </w:p>
    <w:p w:rsidR="0880C42D" w:rsidP="0880C42D" w:rsidRDefault="0880C42D" w14:paraId="4185AF39" w14:textId="3350CA23">
      <w:pPr>
        <w:bidi w:val="0"/>
        <w:spacing w:before="0" w:beforeAutospacing="off" w:after="160" w:afterAutospacing="off" w:line="360" w:lineRule="auto"/>
        <w:ind w:left="0" w:right="0" w:firstLine="0"/>
        <w:jc w:val="left"/>
        <w:rPr>
          <w:rFonts w:ascii="Times New Roman" w:hAnsi="Times New Roman" w:eastAsia="Times New Roman" w:cs="Times New Roman"/>
          <w:b w:val="0"/>
          <w:bCs w:val="0"/>
          <w:i w:val="0"/>
          <w:iCs w:val="0"/>
          <w:caps w:val="0"/>
          <w:smallCaps w:val="0"/>
          <w:noProof w:val="0"/>
          <w:sz w:val="22"/>
          <w:szCs w:val="22"/>
          <w:lang w:val="en-US"/>
        </w:rPr>
      </w:pPr>
    </w:p>
    <w:p xmlns:wp14="http://schemas.microsoft.com/office/word/2010/wordml" w:rsidRPr="006A2016" w:rsidR="00131055" w:rsidP="0880C42D" w:rsidRDefault="00131055" w14:paraId="327D2F86" wp14:textId="5DF347F2">
      <w:pPr>
        <w:pStyle w:val="SectionTitle"/>
        <w:spacing w:line="360" w:lineRule="auto"/>
        <w:rPr>
          <w:rFonts w:ascii="Aptos" w:hAnsi="Aptos" w:eastAsia="Aptos" w:cs="Aptos"/>
          <w:b w:val="1"/>
          <w:bCs w:val="1"/>
          <w:i w:val="0"/>
          <w:iCs w:val="0"/>
          <w:caps w:val="0"/>
          <w:smallCaps w:val="0"/>
          <w:noProof w:val="0"/>
          <w:color w:val="0E2740"/>
          <w:sz w:val="24"/>
          <w:szCs w:val="24"/>
          <w:lang w:val="en-US"/>
        </w:rPr>
      </w:pPr>
      <w:r w:rsidRPr="0880C42D" w:rsidR="00187933">
        <w:rPr>
          <w:rFonts w:ascii="Times New Roman" w:hAnsi="Times New Roman"/>
          <w:color w:val="548DD4"/>
        </w:rPr>
        <w:t>Major Parties Involved</w:t>
      </w:r>
      <w:r w:rsidRPr="0880C42D" w:rsidR="00800EC1">
        <w:rPr>
          <w:rFonts w:ascii="Times New Roman" w:hAnsi="Times New Roman"/>
          <w:color w:val="548DD4"/>
        </w:rPr>
        <w:t xml:space="preserve"> </w:t>
      </w:r>
    </w:p>
    <w:p xmlns:wp14="http://schemas.microsoft.com/office/word/2010/wordml" w:rsidRPr="006A2016" w:rsidR="00131055" w:rsidP="0880C42D" w:rsidRDefault="00131055" w14:paraId="139E0D5E" wp14:textId="6310F35D">
      <w:pPr>
        <w:pStyle w:val="Sub-headingofResearchReport"/>
        <w:suppressLineNumbers w:val="0"/>
        <w:tabs>
          <w:tab w:val="clear" w:leader="none" w:pos="8336"/>
          <w:tab w:val="left" w:leader="none" w:pos="7600"/>
        </w:tabs>
        <w:bidi w:val="0"/>
        <w:spacing w:before="0" w:beforeAutospacing="off" w:after="200" w:afterAutospacing="off" w:line="360" w:lineRule="auto"/>
        <w:ind w:left="0" w:right="0"/>
        <w:jc w:val="left"/>
      </w:pPr>
      <w:r w:rsidRPr="0880C42D" w:rsidR="115B8C9B">
        <w:rPr>
          <w:rFonts w:ascii="Times New Roman" w:hAnsi="Times New Roman"/>
          <w:color w:val="548DD4"/>
        </w:rPr>
        <w:t>Democratic Republic of Congo (DRC)</w:t>
      </w:r>
    </w:p>
    <w:p xmlns:wp14="http://schemas.microsoft.com/office/word/2010/wordml" w:rsidRPr="006A2016" w:rsidR="00131055" w:rsidP="0880C42D" w:rsidRDefault="00131055" w14:paraId="3FE327F1" wp14:textId="58F464A5">
      <w:pPr>
        <w:spacing w:line="36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115B8C9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DRC is the world’s leading cobalt producer, supplying about 70% of global output. Much of this comes from artisanal and small-scale mining, which is often linked to child labor, unsafe working conditions, and weak governance. Corruption and lack of enforcement </w:t>
      </w:r>
      <w:r w:rsidRPr="0880C42D" w:rsidR="115B8C9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exacerbate</w:t>
      </w:r>
      <w:r w:rsidRPr="0880C42D" w:rsidR="115B8C9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human rights concerns, making the DRC a focal point in debates over ethical sourcing.</w:t>
      </w:r>
    </w:p>
    <w:p w:rsidR="115B8C9B" w:rsidP="0880C42D" w:rsidRDefault="115B8C9B" w14:paraId="530423A4" w14:textId="7DEAF449">
      <w:pPr>
        <w:pStyle w:val="Sub-headingofResearchReport"/>
        <w:suppressLineNumbers w:val="0"/>
        <w:tabs>
          <w:tab w:val="clear" w:leader="none" w:pos="8336"/>
          <w:tab w:val="left" w:leader="none" w:pos="7600"/>
        </w:tabs>
        <w:bidi w:val="0"/>
        <w:spacing w:before="0" w:beforeAutospacing="off" w:after="200" w:afterAutospacing="off" w:line="360" w:lineRule="auto"/>
        <w:ind w:left="0" w:right="0"/>
        <w:jc w:val="left"/>
      </w:pPr>
      <w:r w:rsidRPr="0880C42D" w:rsidR="115B8C9B">
        <w:rPr>
          <w:rFonts w:ascii="Times New Roman" w:hAnsi="Times New Roman"/>
          <w:color w:val="548DD4"/>
        </w:rPr>
        <w:t>China</w:t>
      </w:r>
    </w:p>
    <w:p w:rsidR="115B8C9B" w:rsidP="0880C42D" w:rsidRDefault="115B8C9B" w14:paraId="4C42AEC1" w14:textId="539CC43D">
      <w:pPr>
        <w:spacing w:before="0" w:beforeAutospacing="off" w:after="160" w:afterAutospacing="off" w:line="360" w:lineRule="auto"/>
        <w:ind w:left="0" w:right="0" w:firstLine="720"/>
        <w:jc w:val="left"/>
        <w:rPr>
          <w:rFonts w:ascii="Times New Roman" w:hAnsi="Times New Roman" w:eastAsia="Times New Roman" w:cs="Times New Roman"/>
          <w:b w:val="0"/>
          <w:bCs w:val="0"/>
          <w:i w:val="0"/>
          <w:iCs w:val="0"/>
          <w:caps w:val="0"/>
          <w:smallCaps w:val="0"/>
          <w:noProof w:val="0"/>
          <w:color w:val="0E2740"/>
          <w:sz w:val="22"/>
          <w:szCs w:val="22"/>
          <w:lang w:val="en-US"/>
        </w:rPr>
      </w:pPr>
      <w:r w:rsidRPr="0880C42D" w:rsidR="115B8C9B">
        <w:rPr>
          <w:rFonts w:ascii="Times New Roman" w:hAnsi="Times New Roman" w:eastAsia="Times New Roman" w:cs="Times New Roman"/>
          <w:b w:val="0"/>
          <w:bCs w:val="0"/>
          <w:i w:val="0"/>
          <w:iCs w:val="0"/>
          <w:caps w:val="0"/>
          <w:smallCaps w:val="0"/>
          <w:noProof w:val="0"/>
          <w:color w:val="0E2740"/>
          <w:sz w:val="22"/>
          <w:szCs w:val="22"/>
          <w:lang w:val="en-US"/>
        </w:rPr>
        <w:t xml:space="preserve">China dominates the midstream and downstream stages of critical mineral supply chains. It controls 85-90% of global rare earth processing capacity and is a major player in lithium refining and battery manufacturing. This dominance allows China to exert </w:t>
      </w:r>
      <w:r w:rsidRPr="0880C42D" w:rsidR="115B8C9B">
        <w:rPr>
          <w:rFonts w:ascii="Times New Roman" w:hAnsi="Times New Roman" w:eastAsia="Times New Roman" w:cs="Times New Roman"/>
          <w:b w:val="0"/>
          <w:bCs w:val="0"/>
          <w:i w:val="0"/>
          <w:iCs w:val="0"/>
          <w:caps w:val="0"/>
          <w:smallCaps w:val="0"/>
          <w:noProof w:val="0"/>
          <w:color w:val="0E2740"/>
          <w:sz w:val="22"/>
          <w:szCs w:val="22"/>
          <w:lang w:val="en-US"/>
        </w:rPr>
        <w:t>significant influence</w:t>
      </w:r>
      <w:r w:rsidRPr="0880C42D" w:rsidR="115B8C9B">
        <w:rPr>
          <w:rFonts w:ascii="Times New Roman" w:hAnsi="Times New Roman" w:eastAsia="Times New Roman" w:cs="Times New Roman"/>
          <w:b w:val="0"/>
          <w:bCs w:val="0"/>
          <w:i w:val="0"/>
          <w:iCs w:val="0"/>
          <w:caps w:val="0"/>
          <w:smallCaps w:val="0"/>
          <w:noProof w:val="0"/>
          <w:color w:val="0E2740"/>
          <w:sz w:val="22"/>
          <w:szCs w:val="22"/>
          <w:lang w:val="en-US"/>
        </w:rPr>
        <w:t xml:space="preserve"> over pricing, availability, and global market stability, raising concerns about monopolistic practices and geopolitical leverage.</w:t>
      </w:r>
    </w:p>
    <w:p w:rsidR="115B8C9B" w:rsidP="0880C42D" w:rsidRDefault="115B8C9B" w14:paraId="6C556CD7" w14:textId="48F77B97">
      <w:pPr>
        <w:pStyle w:val="Sub-headingofResearchReport"/>
        <w:suppressLineNumbers w:val="0"/>
        <w:tabs>
          <w:tab w:val="clear" w:leader="none" w:pos="8336"/>
          <w:tab w:val="left" w:leader="none" w:pos="7600"/>
        </w:tabs>
        <w:bidi w:val="0"/>
        <w:spacing w:before="0" w:beforeAutospacing="off" w:after="200" w:afterAutospacing="off" w:line="360" w:lineRule="auto"/>
        <w:ind w:left="0" w:right="0"/>
        <w:jc w:val="left"/>
      </w:pPr>
      <w:r w:rsidRPr="0880C42D" w:rsidR="115B8C9B">
        <w:rPr>
          <w:rFonts w:ascii="Times New Roman" w:hAnsi="Times New Roman"/>
          <w:color w:val="548DD4"/>
        </w:rPr>
        <w:t>Indonesia</w:t>
      </w:r>
    </w:p>
    <w:p w:rsidR="115B8C9B" w:rsidP="0880C42D" w:rsidRDefault="115B8C9B" w14:paraId="5BBD3CB9" w14:textId="66DF41A2">
      <w:pPr>
        <w:spacing w:before="0" w:beforeAutospacing="off" w:after="160" w:afterAutospacing="off" w:line="360" w:lineRule="auto"/>
        <w:ind w:left="0" w:right="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115B8C9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Now the world’s largest nickel producer (supplying over 60% of global nickel), Indonesia has implemented a down streaming policy, banning the export of raw nickel to force domestic refining. Much of this industry is currently funded by Chinese investment, creating a complex web of dependency for Western EV makers.</w:t>
      </w:r>
    </w:p>
    <w:p w:rsidR="115B8C9B" w:rsidP="0880C42D" w:rsidRDefault="115B8C9B" w14:paraId="7BFC14C8" w14:textId="62A17877">
      <w:pPr>
        <w:pStyle w:val="Sub-headingofResearchReport"/>
        <w:suppressLineNumbers w:val="0"/>
        <w:tabs>
          <w:tab w:val="clear" w:leader="none" w:pos="8336"/>
          <w:tab w:val="left" w:leader="none" w:pos="7600"/>
        </w:tabs>
        <w:bidi w:val="0"/>
        <w:spacing w:before="0" w:beforeAutospacing="off" w:after="200" w:afterAutospacing="off" w:line="360" w:lineRule="auto"/>
        <w:ind w:left="0" w:right="0"/>
        <w:jc w:val="left"/>
      </w:pPr>
      <w:r w:rsidRPr="0880C42D" w:rsidR="115B8C9B">
        <w:rPr>
          <w:rFonts w:ascii="Times New Roman" w:hAnsi="Times New Roman"/>
          <w:color w:val="548DD4"/>
        </w:rPr>
        <w:t>Australia</w:t>
      </w:r>
    </w:p>
    <w:p w:rsidR="115B8C9B" w:rsidP="0880C42D" w:rsidRDefault="115B8C9B" w14:paraId="4DD13DF6" w14:textId="7A4DCA2D">
      <w:pPr>
        <w:spacing w:before="0" w:beforeAutospacing="off" w:after="160" w:afterAutospacing="off" w:line="360" w:lineRule="auto"/>
        <w:ind w:left="0" w:right="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115B8C9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A mining superpower that has become the world’s largest producer of hard-rock lithium. Australia is positioning itself as the primary ethical alternative to Chinese and DRC-sourced materials, focusing on high standard ESG compliance.</w:t>
      </w:r>
    </w:p>
    <w:p w:rsidR="115B8C9B" w:rsidP="0880C42D" w:rsidRDefault="115B8C9B" w14:paraId="50670F5D" w14:textId="45FDE072">
      <w:pPr>
        <w:pStyle w:val="Sub-headingofResearchReport"/>
        <w:suppressLineNumbers w:val="0"/>
        <w:tabs>
          <w:tab w:val="clear" w:leader="none" w:pos="8336"/>
          <w:tab w:val="left" w:leader="none" w:pos="7600"/>
        </w:tabs>
        <w:bidi w:val="0"/>
        <w:spacing w:before="0" w:beforeAutospacing="off" w:after="200" w:afterAutospacing="off" w:line="360" w:lineRule="auto"/>
        <w:ind w:left="0" w:right="0"/>
        <w:jc w:val="left"/>
      </w:pPr>
      <w:r w:rsidRPr="0880C42D" w:rsidR="115B8C9B">
        <w:rPr>
          <w:rFonts w:ascii="Times New Roman" w:hAnsi="Times New Roman"/>
          <w:color w:val="548DD4"/>
        </w:rPr>
        <w:t>Chile, Argentina, Bolivia (Lithium Triangle)</w:t>
      </w:r>
    </w:p>
    <w:p w:rsidR="115B8C9B" w:rsidP="0880C42D" w:rsidRDefault="115B8C9B" w14:paraId="160430A2" w14:textId="0C58659A">
      <w:pPr>
        <w:spacing w:line="36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115B8C9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Together, these three countries hold over half of the world’s lithium reserves. Chile alone accounts for </w:t>
      </w:r>
      <w:r w:rsidRPr="0880C42D" w:rsidR="115B8C9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nearly 30%</w:t>
      </w:r>
      <w:r w:rsidRPr="0880C42D" w:rsidR="115B8C9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of global lithium production, while Argentina and Bolivia are expanding rapidly. The region faces challenges related to water depletion, indigenous land rights, and balancing economic development with environmental sustainability.</w:t>
      </w:r>
    </w:p>
    <w:p w:rsidR="0880C42D" w:rsidP="0880C42D" w:rsidRDefault="0880C42D" w14:paraId="42A84785" w14:textId="1152113A">
      <w:pPr>
        <w:pStyle w:val="Normal"/>
        <w:spacing w:line="360" w:lineRule="auto"/>
        <w:rPr>
          <w:rFonts w:ascii="Times New Roman" w:hAnsi="Times New Roman"/>
          <w:color w:val="000000" w:themeColor="text1" w:themeTint="FF" w:themeShade="FF"/>
          <w:sz w:val="22"/>
          <w:szCs w:val="22"/>
        </w:rPr>
      </w:pPr>
    </w:p>
    <w:p xmlns:wp14="http://schemas.microsoft.com/office/word/2010/wordml" w:rsidRPr="00C2354C" w:rsidR="00C2354C" w:rsidP="00C2354C" w:rsidRDefault="00C2354C" w14:paraId="6DB235B5" wp14:textId="77777777">
      <w:pPr>
        <w:pStyle w:val="SectionTitle"/>
        <w:rPr>
          <w:rFonts w:ascii="Times New Roman" w:hAnsi="Times New Roman"/>
          <w:color w:val="548DD4"/>
        </w:rPr>
      </w:pPr>
      <w:r w:rsidRPr="0880C42D" w:rsidR="00C2354C">
        <w:rPr>
          <w:rFonts w:ascii="Times New Roman" w:hAnsi="Times New Roman"/>
          <w:color w:val="548DD4"/>
        </w:rPr>
        <w:t>Timeline of Events</w:t>
      </w: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Change w:author="" w:id="95743846">
          <w:tblPr/>
        </w:tblPrChange>
      </w:tblPr>
      <w:tblGrid>
        <w:gridCol w:w="2051"/>
        <w:gridCol w:w="3427"/>
        <w:gridCol w:w="4718"/>
        <w:tblGridChange w:id="867309113">
          <w:tblGrid>
            <w:gridCol w:w="2051"/>
            <w:gridCol w:w="3427"/>
            <w:gridCol w:w="4718"/>
          </w:tblGrid>
        </w:tblGridChange>
      </w:tblGrid>
      <w:tr xmlns:wp14="http://schemas.microsoft.com/office/word/2010/wordml" w:rsidRPr="00E42FEC" w:rsidR="00892AA4" w:rsidTr="0880C42D" w14:paraId="259AFD6E" wp14:textId="77777777">
        <w:trPr>
          <w:trHeight w:val="300"/>
        </w:trPr>
        <w:tc>
          <w:tcPr>
            <w:tcW w:w="2088" w:type="dxa"/>
            <w:tcMar/>
          </w:tcPr>
          <w:p w:rsidRPr="00E42FEC" w:rsidR="00892AA4" w:rsidP="006A2016" w:rsidRDefault="00892AA4" w14:paraId="491072FA" wp14:textId="77777777">
            <w:pPr>
              <w:pStyle w:val="SectionTitle"/>
              <w:rPr>
                <w:rFonts w:ascii="Times New Roman" w:hAnsi="Times New Roman" w:eastAsia="SimSun"/>
                <w:color w:val="000000"/>
                <w:sz w:val="22"/>
                <w:szCs w:val="22"/>
              </w:rPr>
            </w:pPr>
            <w:r w:rsidRPr="0880C42D" w:rsidR="0FA56252">
              <w:rPr>
                <w:rFonts w:ascii="Times New Roman" w:hAnsi="Times New Roman" w:eastAsia="SimSun"/>
                <w:color w:val="000000" w:themeColor="text1" w:themeTint="FF" w:themeShade="FF"/>
                <w:sz w:val="22"/>
                <w:szCs w:val="22"/>
              </w:rPr>
              <w:t>Date</w:t>
            </w:r>
          </w:p>
        </w:tc>
        <w:tc>
          <w:tcPr>
            <w:tcW w:w="3510" w:type="dxa"/>
            <w:tcMar/>
          </w:tcPr>
          <w:p w:rsidRPr="00E42FEC" w:rsidR="00892AA4" w:rsidP="006A2016" w:rsidRDefault="00892AA4" w14:paraId="7B04A0A9" wp14:textId="77777777">
            <w:pPr>
              <w:pStyle w:val="SectionTitle"/>
              <w:rPr>
                <w:rFonts w:ascii="Times New Roman" w:hAnsi="Times New Roman" w:eastAsia="SimSun"/>
                <w:color w:val="000000"/>
                <w:sz w:val="22"/>
                <w:szCs w:val="22"/>
              </w:rPr>
            </w:pPr>
            <w:r w:rsidRPr="0880C42D" w:rsidR="0FA56252">
              <w:rPr>
                <w:rFonts w:ascii="Times New Roman" w:hAnsi="Times New Roman" w:eastAsia="SimSun"/>
                <w:color w:val="000000" w:themeColor="text1" w:themeTint="FF" w:themeShade="FF"/>
                <w:sz w:val="22"/>
                <w:szCs w:val="22"/>
              </w:rPr>
              <w:t>Event Name</w:t>
            </w:r>
          </w:p>
        </w:tc>
        <w:tc>
          <w:tcPr>
            <w:tcW w:w="4824" w:type="dxa"/>
            <w:tcMar/>
          </w:tcPr>
          <w:p w:rsidRPr="00E42FEC" w:rsidR="00892AA4" w:rsidP="006A2016" w:rsidRDefault="00892AA4" w14:paraId="31FF54C8" wp14:textId="77777777">
            <w:pPr>
              <w:pStyle w:val="SectionTitle"/>
              <w:rPr>
                <w:rFonts w:ascii="Times New Roman" w:hAnsi="Times New Roman" w:eastAsia="SimSun"/>
                <w:color w:val="000000"/>
                <w:sz w:val="22"/>
                <w:szCs w:val="22"/>
              </w:rPr>
            </w:pPr>
            <w:r w:rsidRPr="0880C42D" w:rsidR="0FA56252">
              <w:rPr>
                <w:rFonts w:ascii="Times New Roman" w:hAnsi="Times New Roman" w:eastAsia="SimSun"/>
                <w:color w:val="000000" w:themeColor="text1" w:themeTint="FF" w:themeShade="FF"/>
                <w:sz w:val="22"/>
                <w:szCs w:val="22"/>
              </w:rPr>
              <w:t>Description</w:t>
            </w:r>
          </w:p>
        </w:tc>
      </w:tr>
      <w:tr xmlns:wp14="http://schemas.microsoft.com/office/word/2010/wordml" w:rsidRPr="00E42FEC" w:rsidR="00892AA4" w:rsidTr="0880C42D" w14:paraId="14DBBEBA" wp14:textId="77777777">
        <w:trPr>
          <w:trHeight w:val="300"/>
        </w:trPr>
        <w:tc>
          <w:tcPr>
            <w:tcW w:w="2088" w:type="dxa"/>
            <w:tcMar/>
          </w:tcPr>
          <w:p w:rsidRPr="00E42FEC" w:rsidR="00892AA4" w:rsidP="0880C42D" w:rsidRDefault="00892AA4" w14:paraId="3A91BEFE" wp14:textId="719ADF86">
            <w:pPr>
              <w:pStyle w:val="SectionTitle"/>
              <w:suppressLineNumbers w:val="0"/>
              <w:bidi w:val="0"/>
              <w:spacing w:before="0" w:beforeAutospacing="off" w:after="200" w:afterAutospacing="off" w:line="360" w:lineRule="auto"/>
              <w:ind w:left="0" w:right="0"/>
              <w:jc w:val="left"/>
              <w:rPr>
                <w:rFonts w:ascii="Times New Roman" w:hAnsi="Times New Roman" w:eastAsia="SimSun"/>
                <w:b w:val="0"/>
                <w:bCs w:val="0"/>
                <w:color w:val="000000" w:themeColor="text1" w:themeTint="FF" w:themeShade="FF"/>
                <w:sz w:val="22"/>
                <w:szCs w:val="22"/>
              </w:rPr>
            </w:pPr>
            <w:r w:rsidRPr="0880C42D" w:rsidR="284FDE00">
              <w:rPr>
                <w:rFonts w:ascii="Times New Roman" w:hAnsi="Times New Roman" w:eastAsia="SimSun"/>
                <w:b w:val="0"/>
                <w:bCs w:val="0"/>
                <w:color w:val="000000" w:themeColor="text1" w:themeTint="FF" w:themeShade="FF"/>
                <w:sz w:val="22"/>
                <w:szCs w:val="22"/>
              </w:rPr>
              <w:t>2011</w:t>
            </w:r>
          </w:p>
        </w:tc>
        <w:tc>
          <w:tcPr>
            <w:tcW w:w="3510" w:type="dxa"/>
            <w:tcMar/>
          </w:tcPr>
          <w:p w:rsidRPr="00E42FEC" w:rsidR="00892AA4" w:rsidP="006A2016" w:rsidRDefault="00892AA4" w14:paraId="5A39BBE3" wp14:textId="0ECA6A99">
            <w:pPr>
              <w:pStyle w:val="SectionTitle"/>
              <w:rPr>
                <w:rFonts w:ascii="Times New Roman" w:hAnsi="Times New Roman" w:eastAsia="SimSun"/>
                <w:b w:val="0"/>
                <w:bCs w:val="0"/>
                <w:color w:val="000000"/>
                <w:sz w:val="22"/>
                <w:szCs w:val="22"/>
              </w:rPr>
            </w:pPr>
            <w:r w:rsidRPr="0880C42D" w:rsidR="284FDE00">
              <w:rPr>
                <w:rFonts w:ascii="Times New Roman" w:hAnsi="Times New Roman" w:eastAsia="SimSun"/>
                <w:b w:val="0"/>
                <w:bCs w:val="0"/>
                <w:color w:val="000000" w:themeColor="text1" w:themeTint="FF" w:themeShade="FF"/>
                <w:sz w:val="22"/>
                <w:szCs w:val="22"/>
              </w:rPr>
              <w:t>UN Guiding Principles on Business and Human Rights</w:t>
            </w:r>
          </w:p>
        </w:tc>
        <w:tc>
          <w:tcPr>
            <w:tcW w:w="4824" w:type="dxa"/>
            <w:tcMar/>
          </w:tcPr>
          <w:p w:rsidRPr="00E42FEC" w:rsidR="00892AA4" w:rsidP="006A2016" w:rsidRDefault="00892AA4" w14:paraId="41C8F396" wp14:textId="70F13E3E">
            <w:pPr>
              <w:pStyle w:val="SectionTitle"/>
              <w:rPr>
                <w:rFonts w:ascii="Times New Roman" w:hAnsi="Times New Roman" w:eastAsia="SimSun"/>
                <w:b w:val="0"/>
                <w:bCs w:val="0"/>
                <w:color w:val="000000"/>
                <w:sz w:val="22"/>
                <w:szCs w:val="22"/>
              </w:rPr>
            </w:pPr>
            <w:r w:rsidRPr="0880C42D" w:rsidR="284FDE00">
              <w:rPr>
                <w:rFonts w:ascii="Times New Roman" w:hAnsi="Times New Roman" w:eastAsia="SimSun"/>
                <w:b w:val="0"/>
                <w:bCs w:val="0"/>
                <w:color w:val="000000" w:themeColor="text1" w:themeTint="FF" w:themeShade="FF"/>
                <w:sz w:val="22"/>
                <w:szCs w:val="22"/>
              </w:rPr>
              <w:t xml:space="preserve">Established global norms for corporate responsibility and human rights </w:t>
            </w:r>
            <w:r w:rsidRPr="0880C42D" w:rsidR="284FDE00">
              <w:rPr>
                <w:rFonts w:ascii="Times New Roman" w:hAnsi="Times New Roman" w:eastAsia="SimSun"/>
                <w:b w:val="0"/>
                <w:bCs w:val="0"/>
                <w:color w:val="000000" w:themeColor="text1" w:themeTint="FF" w:themeShade="FF"/>
                <w:sz w:val="22"/>
                <w:szCs w:val="22"/>
              </w:rPr>
              <w:t>due</w:t>
            </w:r>
            <w:r w:rsidRPr="0880C42D" w:rsidR="284FDE00">
              <w:rPr>
                <w:rFonts w:ascii="Times New Roman" w:hAnsi="Times New Roman" w:eastAsia="SimSun"/>
                <w:b w:val="0"/>
                <w:bCs w:val="0"/>
                <w:color w:val="000000" w:themeColor="text1" w:themeTint="FF" w:themeShade="FF"/>
                <w:sz w:val="22"/>
                <w:szCs w:val="22"/>
              </w:rPr>
              <w:t xml:space="preserve"> diligence in supply chains.</w:t>
            </w:r>
          </w:p>
        </w:tc>
      </w:tr>
      <w:tr xmlns:wp14="http://schemas.microsoft.com/office/word/2010/wordml" w:rsidRPr="00E42FEC" w:rsidR="00892AA4" w:rsidTr="0880C42D" w14:paraId="72A3D3EC" wp14:textId="77777777">
        <w:trPr>
          <w:trHeight w:val="300"/>
        </w:trPr>
        <w:tc>
          <w:tcPr>
            <w:tcW w:w="2088" w:type="dxa"/>
            <w:tcMar/>
          </w:tcPr>
          <w:p w:rsidRPr="00E42FEC" w:rsidR="00892AA4" w:rsidP="006A2016" w:rsidRDefault="00892AA4" w14:paraId="0D0B940D" wp14:textId="65CC9FF4">
            <w:pPr>
              <w:pStyle w:val="SectionTitle"/>
              <w:rPr>
                <w:rFonts w:ascii="Times New Roman" w:hAnsi="Times New Roman" w:eastAsia="SimSun"/>
                <w:b w:val="0"/>
                <w:bCs w:val="0"/>
                <w:color w:val="000000"/>
                <w:sz w:val="22"/>
                <w:szCs w:val="22"/>
              </w:rPr>
            </w:pPr>
            <w:r w:rsidRPr="0880C42D" w:rsidR="284FDE00">
              <w:rPr>
                <w:rFonts w:ascii="Times New Roman" w:hAnsi="Times New Roman" w:eastAsia="SimSun"/>
                <w:b w:val="0"/>
                <w:bCs w:val="0"/>
                <w:color w:val="000000" w:themeColor="text1" w:themeTint="FF" w:themeShade="FF"/>
                <w:sz w:val="22"/>
                <w:szCs w:val="22"/>
              </w:rPr>
              <w:t>April 2016</w:t>
            </w:r>
          </w:p>
        </w:tc>
        <w:tc>
          <w:tcPr>
            <w:tcW w:w="3510" w:type="dxa"/>
            <w:tcMar/>
          </w:tcPr>
          <w:p w:rsidRPr="00E42FEC" w:rsidR="00892AA4" w:rsidP="006A2016" w:rsidRDefault="00892AA4" w14:paraId="0E27B00A" wp14:textId="035C24BB">
            <w:pPr>
              <w:pStyle w:val="SectionTitle"/>
              <w:rPr>
                <w:rFonts w:ascii="Times New Roman" w:hAnsi="Times New Roman" w:eastAsia="SimSun"/>
                <w:b w:val="0"/>
                <w:bCs w:val="0"/>
                <w:color w:val="000000"/>
                <w:sz w:val="22"/>
                <w:szCs w:val="22"/>
              </w:rPr>
            </w:pPr>
            <w:r w:rsidRPr="0880C42D" w:rsidR="284FDE00">
              <w:rPr>
                <w:rFonts w:ascii="Times New Roman" w:hAnsi="Times New Roman" w:eastAsia="SimSun"/>
                <w:b w:val="0"/>
                <w:bCs w:val="0"/>
                <w:color w:val="000000" w:themeColor="text1" w:themeTint="FF" w:themeShade="FF"/>
                <w:sz w:val="22"/>
                <w:szCs w:val="22"/>
              </w:rPr>
              <w:t>OECD Due Diligence Guidance (3</w:t>
            </w:r>
            <w:r w:rsidRPr="0880C42D" w:rsidR="284FDE00">
              <w:rPr>
                <w:rFonts w:ascii="Times New Roman" w:hAnsi="Times New Roman" w:eastAsia="SimSun"/>
                <w:b w:val="0"/>
                <w:bCs w:val="0"/>
                <w:color w:val="000000" w:themeColor="text1" w:themeTint="FF" w:themeShade="FF"/>
                <w:sz w:val="22"/>
                <w:szCs w:val="22"/>
                <w:vertAlign w:val="superscript"/>
              </w:rPr>
              <w:t>rd</w:t>
            </w:r>
            <w:r w:rsidRPr="0880C42D" w:rsidR="284FDE00">
              <w:rPr>
                <w:rFonts w:ascii="Times New Roman" w:hAnsi="Times New Roman" w:eastAsia="SimSun"/>
                <w:b w:val="0"/>
                <w:bCs w:val="0"/>
                <w:color w:val="000000" w:themeColor="text1" w:themeTint="FF" w:themeShade="FF"/>
                <w:sz w:val="22"/>
                <w:szCs w:val="22"/>
              </w:rPr>
              <w:t xml:space="preserve"> Edition)</w:t>
            </w:r>
          </w:p>
        </w:tc>
        <w:tc>
          <w:tcPr>
            <w:tcW w:w="4824" w:type="dxa"/>
            <w:tcMar/>
          </w:tcPr>
          <w:p w:rsidRPr="00E42FEC" w:rsidR="00892AA4" w:rsidP="006A2016" w:rsidRDefault="00892AA4" w14:paraId="60061E4C" wp14:textId="30A91678">
            <w:pPr>
              <w:pStyle w:val="SectionTitle"/>
              <w:rPr>
                <w:rFonts w:ascii="Times New Roman" w:hAnsi="Times New Roman" w:eastAsia="SimSun"/>
                <w:b w:val="0"/>
                <w:bCs w:val="0"/>
                <w:color w:val="000000"/>
                <w:sz w:val="22"/>
                <w:szCs w:val="22"/>
              </w:rPr>
            </w:pPr>
            <w:r w:rsidRPr="0880C42D" w:rsidR="284FDE00">
              <w:rPr>
                <w:rFonts w:ascii="Times New Roman" w:hAnsi="Times New Roman" w:eastAsia="SimSun"/>
                <w:b w:val="0"/>
                <w:bCs w:val="0"/>
                <w:color w:val="000000" w:themeColor="text1" w:themeTint="FF" w:themeShade="FF"/>
                <w:sz w:val="22"/>
                <w:szCs w:val="22"/>
              </w:rPr>
              <w:t>Introduced a standardized framework for responsible mineral sourcing from high-risk areas.</w:t>
            </w:r>
          </w:p>
        </w:tc>
      </w:tr>
      <w:tr xmlns:wp14="http://schemas.microsoft.com/office/word/2010/wordml" w:rsidRPr="00E42FEC" w:rsidR="00892AA4" w:rsidTr="0880C42D" w14:paraId="44EAFD9C" wp14:textId="77777777">
        <w:trPr>
          <w:trHeight w:val="300"/>
        </w:trPr>
        <w:tc>
          <w:tcPr>
            <w:tcW w:w="2088" w:type="dxa"/>
            <w:tcMar/>
          </w:tcPr>
          <w:p w:rsidRPr="00E42FEC" w:rsidR="00892AA4" w:rsidP="006A2016" w:rsidRDefault="00892AA4" w14:paraId="4B94D5A5" wp14:textId="5D6620C5">
            <w:pPr>
              <w:pStyle w:val="SectionTitle"/>
              <w:rPr>
                <w:rFonts w:ascii="Times New Roman" w:hAnsi="Times New Roman" w:eastAsia="SimSun"/>
                <w:b w:val="0"/>
                <w:bCs w:val="0"/>
                <w:color w:val="000000"/>
                <w:sz w:val="22"/>
                <w:szCs w:val="22"/>
              </w:rPr>
            </w:pPr>
            <w:r w:rsidRPr="0880C42D" w:rsidR="284FDE00">
              <w:rPr>
                <w:rFonts w:ascii="Times New Roman" w:hAnsi="Times New Roman" w:eastAsia="SimSun"/>
                <w:b w:val="0"/>
                <w:bCs w:val="0"/>
                <w:color w:val="000000" w:themeColor="text1" w:themeTint="FF" w:themeShade="FF"/>
                <w:sz w:val="22"/>
                <w:szCs w:val="22"/>
              </w:rPr>
              <w:t>2017</w:t>
            </w:r>
          </w:p>
        </w:tc>
        <w:tc>
          <w:tcPr>
            <w:tcW w:w="3510" w:type="dxa"/>
            <w:tcMar/>
          </w:tcPr>
          <w:p w:rsidRPr="00E42FEC" w:rsidR="00892AA4" w:rsidP="006A2016" w:rsidRDefault="00892AA4" w14:paraId="3DEEC669" wp14:textId="4A3CEAF3">
            <w:pPr>
              <w:pStyle w:val="SectionTitle"/>
              <w:rPr>
                <w:rFonts w:ascii="Times New Roman" w:hAnsi="Times New Roman" w:eastAsia="SimSun"/>
                <w:b w:val="0"/>
                <w:bCs w:val="0"/>
                <w:color w:val="000000"/>
                <w:sz w:val="22"/>
                <w:szCs w:val="22"/>
              </w:rPr>
            </w:pPr>
            <w:r w:rsidRPr="0880C42D" w:rsidR="284FDE00">
              <w:rPr>
                <w:rFonts w:ascii="Times New Roman" w:hAnsi="Times New Roman" w:eastAsia="SimSun"/>
                <w:b w:val="0"/>
                <w:bCs w:val="0"/>
                <w:color w:val="000000" w:themeColor="text1" w:themeTint="FF" w:themeShade="FF"/>
                <w:sz w:val="22"/>
                <w:szCs w:val="22"/>
              </w:rPr>
              <w:t>Expansion of EITI Membership</w:t>
            </w:r>
          </w:p>
        </w:tc>
        <w:tc>
          <w:tcPr>
            <w:tcW w:w="4824" w:type="dxa"/>
            <w:tcMar/>
          </w:tcPr>
          <w:p w:rsidRPr="00E42FEC" w:rsidR="00892AA4" w:rsidP="006A2016" w:rsidRDefault="00892AA4" w14:paraId="3656B9AB" wp14:textId="23A0448A">
            <w:pPr>
              <w:pStyle w:val="SectionTitle"/>
              <w:rPr>
                <w:rFonts w:ascii="Times New Roman" w:hAnsi="Times New Roman" w:eastAsia="SimSun"/>
                <w:b w:val="0"/>
                <w:bCs w:val="0"/>
                <w:color w:val="000000"/>
                <w:sz w:val="22"/>
                <w:szCs w:val="22"/>
              </w:rPr>
            </w:pPr>
            <w:r w:rsidRPr="0880C42D" w:rsidR="284FDE00">
              <w:rPr>
                <w:rFonts w:ascii="Times New Roman" w:hAnsi="Times New Roman" w:eastAsia="SimSun"/>
                <w:b w:val="0"/>
                <w:bCs w:val="0"/>
                <w:color w:val="000000" w:themeColor="text1" w:themeTint="FF" w:themeShade="FF"/>
                <w:sz w:val="22"/>
                <w:szCs w:val="22"/>
              </w:rPr>
              <w:t>Over 50 countries committed to transparency in extractive industries</w:t>
            </w:r>
          </w:p>
        </w:tc>
      </w:tr>
      <w:tr w:rsidR="0880C42D" w:rsidTr="0880C42D" w14:paraId="1C40E1F2">
        <w:trPr>
          <w:trHeight w:val="300"/>
        </w:trPr>
        <w:tc>
          <w:tcPr>
            <w:tcW w:w="2051" w:type="dxa"/>
            <w:tcMar/>
          </w:tcPr>
          <w:p w:rsidR="284FDE00" w:rsidP="0880C42D" w:rsidRDefault="284FDE00" w14:paraId="51019227" w14:textId="765A8FC0">
            <w:pPr>
              <w:pStyle w:val="SectionTitle"/>
              <w:rPr>
                <w:rFonts w:ascii="Times New Roman" w:hAnsi="Times New Roman" w:eastAsia="SimSun"/>
                <w:b w:val="0"/>
                <w:bCs w:val="0"/>
                <w:color w:val="000000" w:themeColor="text1" w:themeTint="FF" w:themeShade="FF"/>
                <w:sz w:val="22"/>
                <w:szCs w:val="22"/>
              </w:rPr>
            </w:pPr>
            <w:r w:rsidRPr="0880C42D" w:rsidR="284FDE00">
              <w:rPr>
                <w:rFonts w:ascii="Times New Roman" w:hAnsi="Times New Roman" w:eastAsia="SimSun"/>
                <w:b w:val="0"/>
                <w:bCs w:val="0"/>
                <w:color w:val="000000" w:themeColor="text1" w:themeTint="FF" w:themeShade="FF"/>
                <w:sz w:val="22"/>
                <w:szCs w:val="22"/>
              </w:rPr>
              <w:t>2021</w:t>
            </w:r>
          </w:p>
        </w:tc>
        <w:tc>
          <w:tcPr>
            <w:tcW w:w="3427" w:type="dxa"/>
            <w:tcMar/>
          </w:tcPr>
          <w:p w:rsidR="284FDE00" w:rsidP="0880C42D" w:rsidRDefault="284FDE00" w14:paraId="1FB14916" w14:textId="68E0DFDB">
            <w:pPr>
              <w:pStyle w:val="SectionTitle"/>
              <w:rPr>
                <w:rFonts w:ascii="Times New Roman" w:hAnsi="Times New Roman" w:eastAsia="SimSun"/>
                <w:b w:val="0"/>
                <w:bCs w:val="0"/>
                <w:color w:val="000000" w:themeColor="text1" w:themeTint="FF" w:themeShade="FF"/>
                <w:sz w:val="22"/>
                <w:szCs w:val="22"/>
              </w:rPr>
            </w:pPr>
            <w:r w:rsidRPr="0880C42D" w:rsidR="284FDE00">
              <w:rPr>
                <w:rFonts w:ascii="Times New Roman" w:hAnsi="Times New Roman" w:eastAsia="SimSun"/>
                <w:b w:val="0"/>
                <w:bCs w:val="0"/>
                <w:color w:val="000000" w:themeColor="text1" w:themeTint="FF" w:themeShade="FF"/>
                <w:sz w:val="22"/>
                <w:szCs w:val="22"/>
              </w:rPr>
              <w:t>IEA Critical Minerals Report</w:t>
            </w:r>
          </w:p>
        </w:tc>
        <w:tc>
          <w:tcPr>
            <w:tcW w:w="4718" w:type="dxa"/>
            <w:tcMar/>
          </w:tcPr>
          <w:p w:rsidR="284FDE00" w:rsidP="0880C42D" w:rsidRDefault="284FDE00" w14:paraId="18ED72F1" w14:textId="5BF96273">
            <w:pPr>
              <w:pStyle w:val="SectionTitle"/>
              <w:rPr>
                <w:rFonts w:ascii="Times New Roman" w:hAnsi="Times New Roman" w:eastAsia="SimSun"/>
                <w:b w:val="0"/>
                <w:bCs w:val="0"/>
                <w:color w:val="000000" w:themeColor="text1" w:themeTint="FF" w:themeShade="FF"/>
                <w:sz w:val="22"/>
                <w:szCs w:val="22"/>
              </w:rPr>
            </w:pPr>
            <w:r w:rsidRPr="0880C42D" w:rsidR="284FDE00">
              <w:rPr>
                <w:rFonts w:ascii="Times New Roman" w:hAnsi="Times New Roman" w:eastAsia="SimSun"/>
                <w:b w:val="0"/>
                <w:bCs w:val="0"/>
                <w:color w:val="000000" w:themeColor="text1" w:themeTint="FF" w:themeShade="FF"/>
                <w:sz w:val="22"/>
                <w:szCs w:val="22"/>
              </w:rPr>
              <w:t xml:space="preserve">Highlighted the role of CETMs in clean energy transitions and warned of supply risks. </w:t>
            </w:r>
          </w:p>
        </w:tc>
      </w:tr>
      <w:tr w:rsidR="0880C42D" w:rsidTr="0880C42D" w14:paraId="215B4209">
        <w:trPr>
          <w:trHeight w:val="300"/>
        </w:trPr>
        <w:tc>
          <w:tcPr>
            <w:tcW w:w="2051" w:type="dxa"/>
            <w:tcMar/>
          </w:tcPr>
          <w:p w:rsidR="284FDE00" w:rsidP="0880C42D" w:rsidRDefault="284FDE00" w14:paraId="20886776" w14:textId="10566BEA">
            <w:pPr>
              <w:pStyle w:val="SectionTitle"/>
              <w:rPr>
                <w:rFonts w:ascii="Times New Roman" w:hAnsi="Times New Roman" w:eastAsia="SimSun"/>
                <w:b w:val="0"/>
                <w:bCs w:val="0"/>
                <w:color w:val="000000" w:themeColor="text1" w:themeTint="FF" w:themeShade="FF"/>
                <w:sz w:val="22"/>
                <w:szCs w:val="22"/>
              </w:rPr>
            </w:pPr>
            <w:r w:rsidRPr="0880C42D" w:rsidR="284FDE00">
              <w:rPr>
                <w:rFonts w:ascii="Times New Roman" w:hAnsi="Times New Roman" w:eastAsia="SimSun"/>
                <w:b w:val="0"/>
                <w:bCs w:val="0"/>
                <w:color w:val="000000" w:themeColor="text1" w:themeTint="FF" w:themeShade="FF"/>
                <w:sz w:val="22"/>
                <w:szCs w:val="22"/>
              </w:rPr>
              <w:t>June 2022</w:t>
            </w:r>
          </w:p>
        </w:tc>
        <w:tc>
          <w:tcPr>
            <w:tcW w:w="3427" w:type="dxa"/>
            <w:tcMar/>
          </w:tcPr>
          <w:p w:rsidR="284FDE00" w:rsidP="0880C42D" w:rsidRDefault="284FDE00" w14:paraId="54F8469A" w14:textId="3E48BA97">
            <w:pPr>
              <w:pStyle w:val="SectionTitle"/>
              <w:rPr>
                <w:rFonts w:ascii="Times New Roman" w:hAnsi="Times New Roman" w:eastAsia="SimSun"/>
                <w:b w:val="0"/>
                <w:bCs w:val="0"/>
                <w:color w:val="000000" w:themeColor="text1" w:themeTint="FF" w:themeShade="FF"/>
                <w:sz w:val="22"/>
                <w:szCs w:val="22"/>
              </w:rPr>
            </w:pPr>
            <w:r w:rsidRPr="0880C42D" w:rsidR="284FDE00">
              <w:rPr>
                <w:rFonts w:ascii="Times New Roman" w:hAnsi="Times New Roman" w:eastAsia="SimSun"/>
                <w:b w:val="0"/>
                <w:bCs w:val="0"/>
                <w:color w:val="000000" w:themeColor="text1" w:themeTint="FF" w:themeShade="FF"/>
                <w:sz w:val="22"/>
                <w:szCs w:val="22"/>
              </w:rPr>
              <w:t>Minerals Security Partnership (MSP)</w:t>
            </w:r>
          </w:p>
        </w:tc>
        <w:tc>
          <w:tcPr>
            <w:tcW w:w="4718" w:type="dxa"/>
            <w:tcMar/>
          </w:tcPr>
          <w:p w:rsidR="284FDE00" w:rsidP="0880C42D" w:rsidRDefault="284FDE00" w14:paraId="7D8D8E82" w14:textId="39E471D7">
            <w:pPr>
              <w:pStyle w:val="SectionTitle"/>
              <w:rPr>
                <w:rFonts w:ascii="Times New Roman" w:hAnsi="Times New Roman" w:eastAsia="SimSun"/>
                <w:b w:val="0"/>
                <w:bCs w:val="0"/>
                <w:color w:val="000000" w:themeColor="text1" w:themeTint="FF" w:themeShade="FF"/>
                <w:sz w:val="22"/>
                <w:szCs w:val="22"/>
              </w:rPr>
            </w:pPr>
            <w:r w:rsidRPr="0880C42D" w:rsidR="284FDE00">
              <w:rPr>
                <w:rFonts w:ascii="Times New Roman" w:hAnsi="Times New Roman" w:eastAsia="SimSun"/>
                <w:b w:val="0"/>
                <w:bCs w:val="0"/>
                <w:color w:val="000000" w:themeColor="text1" w:themeTint="FF" w:themeShade="FF"/>
                <w:sz w:val="22"/>
                <w:szCs w:val="22"/>
              </w:rPr>
              <w:t xml:space="preserve">Launched to secure diversified and sustainable critical mineral supply chains. </w:t>
            </w:r>
          </w:p>
        </w:tc>
      </w:tr>
      <w:tr w:rsidR="0880C42D" w:rsidTr="0880C42D" w14:paraId="3700A04A">
        <w:trPr>
          <w:trHeight w:val="300"/>
        </w:trPr>
        <w:tc>
          <w:tcPr>
            <w:tcW w:w="2051" w:type="dxa"/>
            <w:tcMar/>
          </w:tcPr>
          <w:p w:rsidR="284FDE00" w:rsidP="0880C42D" w:rsidRDefault="284FDE00" w14:paraId="594DCC22" w14:textId="1BD8380E">
            <w:pPr>
              <w:pStyle w:val="SectionTitle"/>
              <w:rPr>
                <w:rFonts w:ascii="Times New Roman" w:hAnsi="Times New Roman" w:eastAsia="SimSun"/>
                <w:b w:val="0"/>
                <w:bCs w:val="0"/>
                <w:color w:val="000000" w:themeColor="text1" w:themeTint="FF" w:themeShade="FF"/>
                <w:sz w:val="22"/>
                <w:szCs w:val="22"/>
              </w:rPr>
            </w:pPr>
            <w:r w:rsidRPr="0880C42D" w:rsidR="284FDE00">
              <w:rPr>
                <w:rFonts w:ascii="Times New Roman" w:hAnsi="Times New Roman" w:eastAsia="SimSun"/>
                <w:b w:val="0"/>
                <w:bCs w:val="0"/>
                <w:color w:val="000000" w:themeColor="text1" w:themeTint="FF" w:themeShade="FF"/>
                <w:sz w:val="22"/>
                <w:szCs w:val="22"/>
              </w:rPr>
              <w:t>August 2022</w:t>
            </w:r>
          </w:p>
        </w:tc>
        <w:tc>
          <w:tcPr>
            <w:tcW w:w="3427" w:type="dxa"/>
            <w:tcMar/>
          </w:tcPr>
          <w:p w:rsidR="284FDE00" w:rsidP="0880C42D" w:rsidRDefault="284FDE00" w14:paraId="1DF82264" w14:textId="7D4DAF48">
            <w:pPr>
              <w:pStyle w:val="SectionTitle"/>
              <w:rPr>
                <w:rFonts w:ascii="Times New Roman" w:hAnsi="Times New Roman" w:eastAsia="SimSun"/>
                <w:b w:val="0"/>
                <w:bCs w:val="0"/>
                <w:color w:val="000000" w:themeColor="text1" w:themeTint="FF" w:themeShade="FF"/>
                <w:sz w:val="22"/>
                <w:szCs w:val="22"/>
              </w:rPr>
            </w:pPr>
            <w:r w:rsidRPr="0880C42D" w:rsidR="284FDE00">
              <w:rPr>
                <w:rFonts w:ascii="Times New Roman" w:hAnsi="Times New Roman" w:eastAsia="SimSun"/>
                <w:b w:val="0"/>
                <w:bCs w:val="0"/>
                <w:color w:val="000000" w:themeColor="text1" w:themeTint="FF" w:themeShade="FF"/>
                <w:sz w:val="22"/>
                <w:szCs w:val="22"/>
              </w:rPr>
              <w:t>U.S. Inflation Reduction Act</w:t>
            </w:r>
          </w:p>
        </w:tc>
        <w:tc>
          <w:tcPr>
            <w:tcW w:w="4718" w:type="dxa"/>
            <w:tcMar/>
          </w:tcPr>
          <w:p w:rsidR="284FDE00" w:rsidP="0880C42D" w:rsidRDefault="284FDE00" w14:paraId="3A456986" w14:textId="59B21F40">
            <w:pPr>
              <w:pStyle w:val="SectionTitle"/>
              <w:rPr>
                <w:rFonts w:ascii="Times New Roman" w:hAnsi="Times New Roman" w:eastAsia="SimSun"/>
                <w:b w:val="0"/>
                <w:bCs w:val="0"/>
                <w:color w:val="000000" w:themeColor="text1" w:themeTint="FF" w:themeShade="FF"/>
                <w:sz w:val="22"/>
                <w:szCs w:val="22"/>
              </w:rPr>
            </w:pPr>
            <w:r w:rsidRPr="0880C42D" w:rsidR="284FDE00">
              <w:rPr>
                <w:rFonts w:ascii="Times New Roman" w:hAnsi="Times New Roman" w:eastAsia="SimSun"/>
                <w:b w:val="0"/>
                <w:bCs w:val="0"/>
                <w:color w:val="000000" w:themeColor="text1" w:themeTint="FF" w:themeShade="FF"/>
                <w:sz w:val="22"/>
                <w:szCs w:val="22"/>
              </w:rPr>
              <w:t>Linked EV subsidies to ethical and domestic mineral sourcing requirements.</w:t>
            </w:r>
          </w:p>
        </w:tc>
      </w:tr>
      <w:tr w:rsidR="0880C42D" w:rsidTr="0880C42D" w14:paraId="695A363D">
        <w:trPr>
          <w:trHeight w:val="300"/>
        </w:trPr>
        <w:tc>
          <w:tcPr>
            <w:tcW w:w="2051" w:type="dxa"/>
            <w:tcMar/>
          </w:tcPr>
          <w:p w:rsidR="284FDE00" w:rsidP="0880C42D" w:rsidRDefault="284FDE00" w14:paraId="06BEC536" w14:textId="11AC270C">
            <w:pPr>
              <w:pStyle w:val="SectionTitle"/>
              <w:rPr>
                <w:rFonts w:ascii="Times New Roman" w:hAnsi="Times New Roman" w:eastAsia="SimSun"/>
                <w:b w:val="0"/>
                <w:bCs w:val="0"/>
                <w:color w:val="000000" w:themeColor="text1" w:themeTint="FF" w:themeShade="FF"/>
                <w:sz w:val="22"/>
                <w:szCs w:val="22"/>
              </w:rPr>
            </w:pPr>
            <w:r w:rsidRPr="0880C42D" w:rsidR="284FDE00">
              <w:rPr>
                <w:rFonts w:ascii="Times New Roman" w:hAnsi="Times New Roman" w:eastAsia="SimSun"/>
                <w:b w:val="0"/>
                <w:bCs w:val="0"/>
                <w:color w:val="000000" w:themeColor="text1" w:themeTint="FF" w:themeShade="FF"/>
                <w:sz w:val="22"/>
                <w:szCs w:val="22"/>
              </w:rPr>
              <w:t>July 2023</w:t>
            </w:r>
          </w:p>
        </w:tc>
        <w:tc>
          <w:tcPr>
            <w:tcW w:w="3427" w:type="dxa"/>
            <w:tcMar/>
          </w:tcPr>
          <w:p w:rsidR="284FDE00" w:rsidP="0880C42D" w:rsidRDefault="284FDE00" w14:paraId="6B5F9070" w14:textId="75FDB0F3">
            <w:pPr>
              <w:pStyle w:val="SectionTitle"/>
              <w:rPr>
                <w:rFonts w:ascii="Times New Roman" w:hAnsi="Times New Roman" w:eastAsia="SimSun"/>
                <w:b w:val="0"/>
                <w:bCs w:val="0"/>
                <w:color w:val="000000" w:themeColor="text1" w:themeTint="FF" w:themeShade="FF"/>
                <w:sz w:val="22"/>
                <w:szCs w:val="22"/>
              </w:rPr>
            </w:pPr>
            <w:r w:rsidRPr="0880C42D" w:rsidR="284FDE00">
              <w:rPr>
                <w:rFonts w:ascii="Times New Roman" w:hAnsi="Times New Roman" w:eastAsia="SimSun"/>
                <w:b w:val="0"/>
                <w:bCs w:val="0"/>
                <w:color w:val="000000" w:themeColor="text1" w:themeTint="FF" w:themeShade="FF"/>
                <w:sz w:val="22"/>
                <w:szCs w:val="22"/>
              </w:rPr>
              <w:t>EU Battery Regulation (2023/1542)</w:t>
            </w:r>
          </w:p>
        </w:tc>
        <w:tc>
          <w:tcPr>
            <w:tcW w:w="4718" w:type="dxa"/>
            <w:tcMar/>
          </w:tcPr>
          <w:p w:rsidR="284FDE00" w:rsidP="0880C42D" w:rsidRDefault="284FDE00" w14:paraId="55B1E4E4" w14:textId="0FDBADF6">
            <w:pPr>
              <w:pStyle w:val="SectionTitle"/>
              <w:rPr>
                <w:rFonts w:ascii="Times New Roman" w:hAnsi="Times New Roman" w:eastAsia="SimSun"/>
                <w:b w:val="0"/>
                <w:bCs w:val="0"/>
                <w:color w:val="000000" w:themeColor="text1" w:themeTint="FF" w:themeShade="FF"/>
                <w:sz w:val="22"/>
                <w:szCs w:val="22"/>
              </w:rPr>
            </w:pPr>
            <w:r w:rsidRPr="0880C42D" w:rsidR="284FDE00">
              <w:rPr>
                <w:rFonts w:ascii="Times New Roman" w:hAnsi="Times New Roman" w:eastAsia="SimSun"/>
                <w:b w:val="0"/>
                <w:bCs w:val="0"/>
                <w:color w:val="000000" w:themeColor="text1" w:themeTint="FF" w:themeShade="FF"/>
                <w:sz w:val="22"/>
                <w:szCs w:val="22"/>
              </w:rPr>
              <w:t>Introduced legally binding due diligence, recycling, and carbon footprint rules.</w:t>
            </w:r>
          </w:p>
        </w:tc>
      </w:tr>
      <w:tr w:rsidR="0880C42D" w:rsidTr="0880C42D" w14:paraId="60DC1020">
        <w:trPr>
          <w:trHeight w:val="300"/>
        </w:trPr>
        <w:tc>
          <w:tcPr>
            <w:tcW w:w="2051" w:type="dxa"/>
            <w:tcMar/>
          </w:tcPr>
          <w:p w:rsidR="284FDE00" w:rsidP="0880C42D" w:rsidRDefault="284FDE00" w14:paraId="3007E895" w14:textId="73DAF7F7">
            <w:pPr>
              <w:pStyle w:val="SectionTitle"/>
              <w:rPr>
                <w:rFonts w:ascii="Times New Roman" w:hAnsi="Times New Roman" w:eastAsia="SimSun"/>
                <w:b w:val="0"/>
                <w:bCs w:val="0"/>
                <w:color w:val="000000" w:themeColor="text1" w:themeTint="FF" w:themeShade="FF"/>
                <w:sz w:val="22"/>
                <w:szCs w:val="22"/>
              </w:rPr>
            </w:pPr>
            <w:r w:rsidRPr="0880C42D" w:rsidR="284FDE00">
              <w:rPr>
                <w:rFonts w:ascii="Times New Roman" w:hAnsi="Times New Roman" w:eastAsia="SimSun"/>
                <w:b w:val="0"/>
                <w:bCs w:val="0"/>
                <w:color w:val="000000" w:themeColor="text1" w:themeTint="FF" w:themeShade="FF"/>
                <w:sz w:val="22"/>
                <w:szCs w:val="22"/>
              </w:rPr>
              <w:t>June 2025</w:t>
            </w:r>
          </w:p>
        </w:tc>
        <w:tc>
          <w:tcPr>
            <w:tcW w:w="3427" w:type="dxa"/>
            <w:tcMar/>
          </w:tcPr>
          <w:p w:rsidR="284FDE00" w:rsidP="0880C42D" w:rsidRDefault="284FDE00" w14:paraId="11B35E09" w14:textId="14F84DF5">
            <w:pPr>
              <w:pStyle w:val="SectionTitle"/>
              <w:rPr>
                <w:rFonts w:ascii="Times New Roman" w:hAnsi="Times New Roman" w:eastAsia="SimSun"/>
                <w:b w:val="0"/>
                <w:bCs w:val="0"/>
                <w:color w:val="000000" w:themeColor="text1" w:themeTint="FF" w:themeShade="FF"/>
                <w:sz w:val="22"/>
                <w:szCs w:val="22"/>
              </w:rPr>
            </w:pPr>
            <w:r w:rsidRPr="0880C42D" w:rsidR="284FDE00">
              <w:rPr>
                <w:rFonts w:ascii="Times New Roman" w:hAnsi="Times New Roman" w:eastAsia="SimSun"/>
                <w:b w:val="0"/>
                <w:bCs w:val="0"/>
                <w:color w:val="000000" w:themeColor="text1" w:themeTint="FF" w:themeShade="FF"/>
                <w:sz w:val="22"/>
                <w:szCs w:val="22"/>
              </w:rPr>
              <w:t>G7 Critical Minerals Action Plan</w:t>
            </w:r>
          </w:p>
        </w:tc>
        <w:tc>
          <w:tcPr>
            <w:tcW w:w="4718" w:type="dxa"/>
            <w:tcMar/>
          </w:tcPr>
          <w:p w:rsidR="284FDE00" w:rsidP="0880C42D" w:rsidRDefault="284FDE00" w14:paraId="7481576F" w14:textId="1DBA2291">
            <w:pPr>
              <w:pStyle w:val="SectionTitle"/>
              <w:rPr>
                <w:rFonts w:ascii="Times New Roman" w:hAnsi="Times New Roman" w:eastAsia="SimSun"/>
                <w:b w:val="0"/>
                <w:bCs w:val="0"/>
                <w:color w:val="000000" w:themeColor="text1" w:themeTint="FF" w:themeShade="FF"/>
                <w:sz w:val="22"/>
                <w:szCs w:val="22"/>
              </w:rPr>
            </w:pPr>
            <w:r w:rsidRPr="0880C42D" w:rsidR="284FDE00">
              <w:rPr>
                <w:rFonts w:ascii="Times New Roman" w:hAnsi="Times New Roman" w:eastAsia="SimSun"/>
                <w:b w:val="0"/>
                <w:bCs w:val="0"/>
                <w:color w:val="000000" w:themeColor="text1" w:themeTint="FF" w:themeShade="FF"/>
                <w:sz w:val="22"/>
                <w:szCs w:val="22"/>
              </w:rPr>
              <w:t>Promoted standards-based markets markets for responsibly sourced minerals.</w:t>
            </w:r>
          </w:p>
        </w:tc>
      </w:tr>
    </w:tbl>
    <w:p xmlns:wp14="http://schemas.microsoft.com/office/word/2010/wordml" w:rsidR="00892AA4" w:rsidP="006A2016" w:rsidRDefault="00892AA4" w14:paraId="45FB0818" wp14:textId="77777777">
      <w:pPr>
        <w:pStyle w:val="SectionTitle"/>
        <w:rPr>
          <w:rFonts w:ascii="Times New Roman" w:hAnsi="Times New Roman"/>
          <w:color w:val="000000"/>
          <w:sz w:val="22"/>
          <w:szCs w:val="22"/>
        </w:rPr>
      </w:pPr>
    </w:p>
    <w:p w:rsidR="00FC7213" w:rsidP="0880C42D" w:rsidRDefault="00FC7213" w14:paraId="0FBCC2DA" w14:textId="06B0FB1B">
      <w:pPr>
        <w:pStyle w:val="SectionTitle"/>
        <w:rPr>
          <w:rFonts w:ascii="Times New Roman" w:hAnsi="Times New Roman"/>
          <w:color w:val="548DD4"/>
        </w:rPr>
      </w:pPr>
      <w:r w:rsidRPr="0880C42D" w:rsidR="00FC7213">
        <w:rPr>
          <w:rFonts w:ascii="Times New Roman" w:hAnsi="Times New Roman"/>
          <w:color w:val="548DD4"/>
        </w:rPr>
        <w:t>Previous</w:t>
      </w:r>
      <w:r w:rsidRPr="0880C42D" w:rsidR="00FC7213">
        <w:rPr>
          <w:rFonts w:ascii="Times New Roman" w:hAnsi="Times New Roman"/>
          <w:color w:val="548DD4"/>
        </w:rPr>
        <w:t xml:space="preserve"> Attempts to S</w:t>
      </w:r>
      <w:r w:rsidRPr="0880C42D" w:rsidR="00131055">
        <w:rPr>
          <w:rFonts w:ascii="Times New Roman" w:hAnsi="Times New Roman"/>
          <w:color w:val="548DD4"/>
        </w:rPr>
        <w:t>olve the Issue</w:t>
      </w:r>
    </w:p>
    <w:p w:rsidR="5F8A2182" w:rsidP="0880C42D" w:rsidRDefault="5F8A2182" w14:paraId="344DC830" w14:textId="567D0231">
      <w:pPr>
        <w:pStyle w:val="SectionTitle"/>
        <w:ind w:firstLine="720"/>
        <w:rPr>
          <w:rFonts w:ascii="Times New Roman" w:hAnsi="Times New Roman"/>
          <w:b w:val="0"/>
          <w:bCs w:val="0"/>
          <w:color w:val="000000" w:themeColor="text1" w:themeTint="FF" w:themeShade="FF"/>
          <w:sz w:val="22"/>
          <w:szCs w:val="22"/>
        </w:rPr>
      </w:pPr>
      <w:r w:rsidRPr="0880C42D" w:rsidR="5F8A2182">
        <w:rPr>
          <w:rFonts w:ascii="Times New Roman" w:hAnsi="Times New Roman"/>
          <w:b w:val="0"/>
          <w:bCs w:val="0"/>
          <w:color w:val="000000" w:themeColor="text1" w:themeTint="FF" w:themeShade="FF"/>
          <w:sz w:val="22"/>
          <w:szCs w:val="22"/>
        </w:rPr>
        <w:t>Over the past decade, the international community has introduced a range of frameworks aimed at improving ethical and environmental standards within global mineral supply chains. One of the earliest efforts was t</w:t>
      </w:r>
      <w:r w:rsidRPr="0880C42D" w:rsidR="4FE1341A">
        <w:rPr>
          <w:rFonts w:ascii="Times New Roman" w:hAnsi="Times New Roman"/>
          <w:b w:val="0"/>
          <w:bCs w:val="0"/>
          <w:color w:val="000000" w:themeColor="text1" w:themeTint="FF" w:themeShade="FF"/>
          <w:sz w:val="22"/>
          <w:szCs w:val="22"/>
        </w:rPr>
        <w:t>he United Nations Guiding Principles on Business and Human Rights (2011)</w:t>
      </w:r>
      <w:r w:rsidRPr="0880C42D" w:rsidR="12D8C60C">
        <w:rPr>
          <w:rFonts w:ascii="Times New Roman" w:hAnsi="Times New Roman"/>
          <w:b w:val="0"/>
          <w:bCs w:val="0"/>
          <w:color w:val="000000" w:themeColor="text1" w:themeTint="FF" w:themeShade="FF"/>
          <w:sz w:val="22"/>
          <w:szCs w:val="22"/>
        </w:rPr>
        <w:t>, which outlined the responsibilities of both states and corporations in preventing human rights abuses linked to business activities. Although</w:t>
      </w:r>
      <w:r w:rsidRPr="0880C42D" w:rsidR="4FE1341A">
        <w:rPr>
          <w:rFonts w:ascii="Times New Roman" w:hAnsi="Times New Roman"/>
          <w:b w:val="0"/>
          <w:bCs w:val="0"/>
          <w:color w:val="000000" w:themeColor="text1" w:themeTint="FF" w:themeShade="FF"/>
          <w:sz w:val="22"/>
          <w:szCs w:val="22"/>
        </w:rPr>
        <w:t xml:space="preserve"> widely endorsed, the </w:t>
      </w:r>
      <w:r w:rsidRPr="0880C42D" w:rsidR="5AC9E337">
        <w:rPr>
          <w:rFonts w:ascii="Times New Roman" w:hAnsi="Times New Roman"/>
          <w:b w:val="0"/>
          <w:bCs w:val="0"/>
          <w:color w:val="000000" w:themeColor="text1" w:themeTint="FF" w:themeShade="FF"/>
          <w:sz w:val="22"/>
          <w:szCs w:val="22"/>
        </w:rPr>
        <w:t>p</w:t>
      </w:r>
      <w:bookmarkStart w:name="_Int_hEXmqIyQ" w:id="252022166"/>
      <w:r w:rsidRPr="0880C42D" w:rsidR="4FE1341A">
        <w:rPr>
          <w:rFonts w:ascii="Times New Roman" w:hAnsi="Times New Roman"/>
          <w:b w:val="0"/>
          <w:bCs w:val="0"/>
          <w:color w:val="000000" w:themeColor="text1" w:themeTint="FF" w:themeShade="FF"/>
          <w:sz w:val="22"/>
          <w:szCs w:val="22"/>
        </w:rPr>
        <w:t>rinciples</w:t>
      </w:r>
      <w:bookmarkEnd w:id="252022166"/>
      <w:r w:rsidRPr="0880C42D" w:rsidR="4FE1341A">
        <w:rPr>
          <w:rFonts w:ascii="Times New Roman" w:hAnsi="Times New Roman"/>
          <w:b w:val="0"/>
          <w:bCs w:val="0"/>
          <w:color w:val="000000" w:themeColor="text1" w:themeTint="FF" w:themeShade="FF"/>
          <w:sz w:val="22"/>
          <w:szCs w:val="22"/>
        </w:rPr>
        <w:t xml:space="preserve"> </w:t>
      </w:r>
      <w:r w:rsidRPr="0880C42D" w:rsidR="4FE1341A">
        <w:rPr>
          <w:rFonts w:ascii="Times New Roman" w:hAnsi="Times New Roman"/>
          <w:b w:val="0"/>
          <w:bCs w:val="0"/>
          <w:color w:val="000000" w:themeColor="text1" w:themeTint="FF" w:themeShade="FF"/>
          <w:sz w:val="22"/>
          <w:szCs w:val="22"/>
        </w:rPr>
        <w:t>remain</w:t>
      </w:r>
      <w:r w:rsidRPr="0880C42D" w:rsidR="4FE1341A">
        <w:rPr>
          <w:rFonts w:ascii="Times New Roman" w:hAnsi="Times New Roman"/>
          <w:b w:val="0"/>
          <w:bCs w:val="0"/>
          <w:color w:val="000000" w:themeColor="text1" w:themeTint="FF" w:themeShade="FF"/>
          <w:sz w:val="22"/>
          <w:szCs w:val="22"/>
        </w:rPr>
        <w:t xml:space="preserve"> non-binding, limiting enforcement in high-risk mining regions. </w:t>
      </w:r>
    </w:p>
    <w:p w:rsidR="5A1BE024" w:rsidP="0880C42D" w:rsidRDefault="5A1BE024" w14:paraId="58544F40" w14:textId="1595E3A4">
      <w:pPr>
        <w:pStyle w:val="SectionTitle"/>
        <w:ind w:firstLine="720"/>
        <w:rPr>
          <w:rFonts w:ascii="Times New Roman" w:hAnsi="Times New Roman"/>
          <w:b w:val="0"/>
          <w:bCs w:val="0"/>
          <w:color w:val="000000" w:themeColor="text1" w:themeTint="FF" w:themeShade="FF"/>
          <w:sz w:val="22"/>
          <w:szCs w:val="22"/>
        </w:rPr>
      </w:pPr>
      <w:r w:rsidRPr="0880C42D" w:rsidR="5A1BE024">
        <w:rPr>
          <w:rFonts w:ascii="Times New Roman" w:hAnsi="Times New Roman"/>
          <w:b w:val="0"/>
          <w:bCs w:val="0"/>
          <w:color w:val="000000" w:themeColor="text1" w:themeTint="FF" w:themeShade="FF"/>
          <w:sz w:val="22"/>
          <w:szCs w:val="22"/>
        </w:rPr>
        <w:t>Building on this approach, t</w:t>
      </w:r>
      <w:r w:rsidRPr="0880C42D" w:rsidR="6C8AFE67">
        <w:rPr>
          <w:rFonts w:ascii="Times New Roman" w:hAnsi="Times New Roman"/>
          <w:b w:val="0"/>
          <w:bCs w:val="0"/>
          <w:color w:val="000000" w:themeColor="text1" w:themeTint="FF" w:themeShade="FF"/>
          <w:sz w:val="22"/>
          <w:szCs w:val="22"/>
        </w:rPr>
        <w:t>he OECD Due Diligence Guidance for Responsible Supply Chains of Minerals (2016) provided</w:t>
      </w:r>
      <w:r w:rsidRPr="0880C42D" w:rsidR="26D3116D">
        <w:rPr>
          <w:rFonts w:ascii="Times New Roman" w:hAnsi="Times New Roman"/>
          <w:b w:val="0"/>
          <w:bCs w:val="0"/>
          <w:color w:val="000000" w:themeColor="text1" w:themeTint="FF" w:themeShade="FF"/>
          <w:sz w:val="22"/>
          <w:szCs w:val="22"/>
        </w:rPr>
        <w:t xml:space="preserve"> </w:t>
      </w:r>
      <w:bookmarkStart w:name="_Int_WmBdIMsP" w:id="175027684"/>
      <w:r w:rsidRPr="0880C42D" w:rsidR="26D3116D">
        <w:rPr>
          <w:rFonts w:ascii="Times New Roman" w:hAnsi="Times New Roman"/>
          <w:b w:val="0"/>
          <w:bCs w:val="0"/>
          <w:color w:val="000000" w:themeColor="text1" w:themeTint="FF" w:themeShade="FF"/>
          <w:sz w:val="22"/>
          <w:szCs w:val="22"/>
        </w:rPr>
        <w:t>companies</w:t>
      </w:r>
      <w:bookmarkEnd w:id="175027684"/>
      <w:r w:rsidRPr="0880C42D" w:rsidR="26D3116D">
        <w:rPr>
          <w:rFonts w:ascii="Times New Roman" w:hAnsi="Times New Roman"/>
          <w:b w:val="0"/>
          <w:bCs w:val="0"/>
          <w:color w:val="000000" w:themeColor="text1" w:themeTint="FF" w:themeShade="FF"/>
          <w:sz w:val="22"/>
          <w:szCs w:val="22"/>
        </w:rPr>
        <w:t xml:space="preserve"> with a more</w:t>
      </w:r>
      <w:r w:rsidRPr="0880C42D" w:rsidR="6C8AFE67">
        <w:rPr>
          <w:rFonts w:ascii="Times New Roman" w:hAnsi="Times New Roman"/>
          <w:b w:val="0"/>
          <w:bCs w:val="0"/>
          <w:color w:val="000000" w:themeColor="text1" w:themeTint="FF" w:themeShade="FF"/>
          <w:sz w:val="22"/>
          <w:szCs w:val="22"/>
        </w:rPr>
        <w:t xml:space="preserve"> structured risk-based framework for companies sourcing minerals from conflict-affected and high-risk areas. Despite its strong influence, implementation has </w:t>
      </w:r>
      <w:r w:rsidRPr="0880C42D" w:rsidR="6C8AFE67">
        <w:rPr>
          <w:rFonts w:ascii="Times New Roman" w:hAnsi="Times New Roman"/>
          <w:b w:val="0"/>
          <w:bCs w:val="0"/>
          <w:color w:val="000000" w:themeColor="text1" w:themeTint="FF" w:themeShade="FF"/>
          <w:sz w:val="22"/>
          <w:szCs w:val="22"/>
        </w:rPr>
        <w:t>remained</w:t>
      </w:r>
      <w:r w:rsidRPr="0880C42D" w:rsidR="6C8AFE67">
        <w:rPr>
          <w:rFonts w:ascii="Times New Roman" w:hAnsi="Times New Roman"/>
          <w:b w:val="0"/>
          <w:bCs w:val="0"/>
          <w:color w:val="000000" w:themeColor="text1" w:themeTint="FF" w:themeShade="FF"/>
          <w:sz w:val="22"/>
          <w:szCs w:val="22"/>
        </w:rPr>
        <w:t xml:space="preserve"> uneven, particularly within ASM sectors</w:t>
      </w:r>
      <w:r w:rsidRPr="0880C42D" w:rsidR="35E0E895">
        <w:rPr>
          <w:rFonts w:ascii="Times New Roman" w:hAnsi="Times New Roman"/>
          <w:b w:val="0"/>
          <w:bCs w:val="0"/>
          <w:color w:val="000000" w:themeColor="text1" w:themeTint="FF" w:themeShade="FF"/>
          <w:sz w:val="22"/>
          <w:szCs w:val="22"/>
        </w:rPr>
        <w:t xml:space="preserve"> where regulatory capacity is often limited. </w:t>
      </w:r>
    </w:p>
    <w:p w:rsidR="35E0E895" w:rsidP="0880C42D" w:rsidRDefault="35E0E895" w14:paraId="4A0A84A6" w14:textId="1B51C785">
      <w:pPr>
        <w:pStyle w:val="SectionTitle"/>
        <w:ind w:firstLine="720"/>
        <w:rPr>
          <w:rFonts w:ascii="Times New Roman" w:hAnsi="Times New Roman"/>
          <w:b w:val="0"/>
          <w:bCs w:val="0"/>
          <w:color w:val="000000" w:themeColor="text1" w:themeTint="FF" w:themeShade="FF"/>
          <w:sz w:val="22"/>
          <w:szCs w:val="22"/>
        </w:rPr>
      </w:pPr>
      <w:r w:rsidRPr="0880C42D" w:rsidR="35E0E895">
        <w:rPr>
          <w:rFonts w:ascii="Times New Roman" w:hAnsi="Times New Roman"/>
          <w:b w:val="0"/>
          <w:bCs w:val="0"/>
          <w:color w:val="000000" w:themeColor="text1" w:themeTint="FF" w:themeShade="FF"/>
          <w:sz w:val="22"/>
          <w:szCs w:val="22"/>
        </w:rPr>
        <w:t>Efforts to improve governance and transparency was further advanced through t</w:t>
      </w:r>
      <w:r w:rsidRPr="0880C42D" w:rsidR="154E0A0E">
        <w:rPr>
          <w:rFonts w:ascii="Times New Roman" w:hAnsi="Times New Roman"/>
          <w:b w:val="0"/>
          <w:bCs w:val="0"/>
          <w:color w:val="000000" w:themeColor="text1" w:themeTint="FF" w:themeShade="FF"/>
          <w:sz w:val="22"/>
          <w:szCs w:val="22"/>
        </w:rPr>
        <w:t xml:space="preserve">he Extractive Industries Transparency </w:t>
      </w:r>
      <w:r w:rsidRPr="0880C42D" w:rsidR="154E0A0E">
        <w:rPr>
          <w:rFonts w:ascii="Times New Roman" w:hAnsi="Times New Roman"/>
          <w:b w:val="0"/>
          <w:bCs w:val="0"/>
          <w:color w:val="000000" w:themeColor="text1" w:themeTint="FF" w:themeShade="FF"/>
          <w:sz w:val="22"/>
          <w:szCs w:val="22"/>
        </w:rPr>
        <w:t>Initiatives (EITI)</w:t>
      </w:r>
      <w:r w:rsidRPr="0880C42D" w:rsidR="7FCB9893">
        <w:rPr>
          <w:rFonts w:ascii="Times New Roman" w:hAnsi="Times New Roman"/>
          <w:b w:val="0"/>
          <w:bCs w:val="0"/>
          <w:color w:val="000000" w:themeColor="text1" w:themeTint="FF" w:themeShade="FF"/>
          <w:sz w:val="22"/>
          <w:szCs w:val="22"/>
        </w:rPr>
        <w:t>, which expanded</w:t>
      </w:r>
      <w:r w:rsidRPr="0880C42D" w:rsidR="154E0A0E">
        <w:rPr>
          <w:rFonts w:ascii="Times New Roman" w:hAnsi="Times New Roman"/>
          <w:b w:val="0"/>
          <w:bCs w:val="0"/>
          <w:color w:val="000000" w:themeColor="text1" w:themeTint="FF" w:themeShade="FF"/>
          <w:sz w:val="22"/>
          <w:szCs w:val="22"/>
        </w:rPr>
        <w:t xml:space="preserve"> throughout the 2010s, with over 50 countries joining to promote revenue transparency and governance in extractive industries. However, corruption and weak domestic enforcement have continued to undermine its effectiveness in several resource0rich states. </w:t>
      </w:r>
    </w:p>
    <w:p w:rsidR="2612F5BC" w:rsidP="0880C42D" w:rsidRDefault="2612F5BC" w14:paraId="5FB6666B" w14:textId="2B29AB0E">
      <w:pPr>
        <w:pStyle w:val="SectionTitle"/>
        <w:ind w:firstLine="720"/>
        <w:rPr>
          <w:rFonts w:ascii="Times New Roman" w:hAnsi="Times New Roman"/>
          <w:b w:val="0"/>
          <w:bCs w:val="0"/>
          <w:color w:val="000000" w:themeColor="text1" w:themeTint="FF" w:themeShade="FF"/>
          <w:sz w:val="22"/>
          <w:szCs w:val="22"/>
        </w:rPr>
      </w:pPr>
      <w:r w:rsidRPr="0880C42D" w:rsidR="2612F5BC">
        <w:rPr>
          <w:rFonts w:ascii="Times New Roman" w:hAnsi="Times New Roman"/>
          <w:b w:val="0"/>
          <w:bCs w:val="0"/>
          <w:color w:val="000000" w:themeColor="text1" w:themeTint="FF" w:themeShade="FF"/>
          <w:sz w:val="22"/>
          <w:szCs w:val="22"/>
        </w:rPr>
        <w:t xml:space="preserve">In parallel, </w:t>
      </w:r>
      <w:r w:rsidRPr="0880C42D" w:rsidR="48BE7D83">
        <w:rPr>
          <w:rFonts w:ascii="Times New Roman" w:hAnsi="Times New Roman"/>
          <w:b w:val="0"/>
          <w:bCs w:val="0"/>
          <w:color w:val="000000" w:themeColor="text1" w:themeTint="FF" w:themeShade="FF"/>
          <w:sz w:val="22"/>
          <w:szCs w:val="22"/>
        </w:rPr>
        <w:t>private-sector actors</w:t>
      </w:r>
      <w:r w:rsidRPr="0880C42D" w:rsidR="2612F5BC">
        <w:rPr>
          <w:rFonts w:ascii="Times New Roman" w:hAnsi="Times New Roman"/>
          <w:b w:val="0"/>
          <w:bCs w:val="0"/>
          <w:color w:val="000000" w:themeColor="text1" w:themeTint="FF" w:themeShade="FF"/>
          <w:sz w:val="22"/>
          <w:szCs w:val="22"/>
        </w:rPr>
        <w:t xml:space="preserve"> introduced voluntary certification schemes such as the </w:t>
      </w:r>
      <w:r w:rsidRPr="0880C42D" w:rsidR="5792A1FE">
        <w:rPr>
          <w:rFonts w:ascii="Times New Roman" w:hAnsi="Times New Roman"/>
          <w:b w:val="0"/>
          <w:bCs w:val="0"/>
          <w:color w:val="000000" w:themeColor="text1" w:themeTint="FF" w:themeShade="FF"/>
          <w:sz w:val="22"/>
          <w:szCs w:val="22"/>
        </w:rPr>
        <w:t>Responsible Minerals Initiative (RMI)</w:t>
      </w:r>
      <w:r w:rsidRPr="0880C42D" w:rsidR="14DE722D">
        <w:rPr>
          <w:rFonts w:ascii="Times New Roman" w:hAnsi="Times New Roman"/>
          <w:b w:val="0"/>
          <w:bCs w:val="0"/>
          <w:color w:val="000000" w:themeColor="text1" w:themeTint="FF" w:themeShade="FF"/>
          <w:sz w:val="22"/>
          <w:szCs w:val="22"/>
        </w:rPr>
        <w:t>, which seeks to promote ethical sourcing through audits and reporting standards. While RMI has helped raise awareness and standardize best practices, p</w:t>
      </w:r>
      <w:r w:rsidRPr="0880C42D" w:rsidR="5792A1FE">
        <w:rPr>
          <w:rFonts w:ascii="Times New Roman" w:hAnsi="Times New Roman"/>
          <w:b w:val="0"/>
          <w:bCs w:val="0"/>
          <w:color w:val="000000" w:themeColor="text1" w:themeTint="FF" w:themeShade="FF"/>
          <w:sz w:val="22"/>
          <w:szCs w:val="22"/>
        </w:rPr>
        <w:t xml:space="preserve">articipation </w:t>
      </w:r>
      <w:r w:rsidRPr="0880C42D" w:rsidR="5792A1FE">
        <w:rPr>
          <w:rFonts w:ascii="Times New Roman" w:hAnsi="Times New Roman"/>
          <w:b w:val="0"/>
          <w:bCs w:val="0"/>
          <w:color w:val="000000" w:themeColor="text1" w:themeTint="FF" w:themeShade="FF"/>
          <w:sz w:val="22"/>
          <w:szCs w:val="22"/>
        </w:rPr>
        <w:t>remains</w:t>
      </w:r>
      <w:r w:rsidRPr="0880C42D" w:rsidR="5792A1FE">
        <w:rPr>
          <w:rFonts w:ascii="Times New Roman" w:hAnsi="Times New Roman"/>
          <w:b w:val="0"/>
          <w:bCs w:val="0"/>
          <w:color w:val="000000" w:themeColor="text1" w:themeTint="FF" w:themeShade="FF"/>
          <w:sz w:val="22"/>
          <w:szCs w:val="22"/>
        </w:rPr>
        <w:t xml:space="preserve"> voluntary, limiting its reach and effectiveness across global supply chains. </w:t>
      </w:r>
    </w:p>
    <w:p w:rsidR="37EFBD73" w:rsidP="0880C42D" w:rsidRDefault="37EFBD73" w14:paraId="579EAFA5" w14:textId="0643CDAD">
      <w:pPr>
        <w:pStyle w:val="SectionTitle"/>
        <w:ind w:firstLine="720"/>
        <w:rPr>
          <w:rFonts w:ascii="Times New Roman" w:hAnsi="Times New Roman"/>
          <w:b w:val="0"/>
          <w:bCs w:val="0"/>
          <w:color w:val="000000" w:themeColor="text1" w:themeTint="FF" w:themeShade="FF"/>
          <w:sz w:val="22"/>
          <w:szCs w:val="22"/>
        </w:rPr>
      </w:pPr>
      <w:r w:rsidRPr="0880C42D" w:rsidR="37EFBD73">
        <w:rPr>
          <w:rFonts w:ascii="Times New Roman" w:hAnsi="Times New Roman"/>
          <w:b w:val="0"/>
          <w:bCs w:val="0"/>
          <w:color w:val="000000" w:themeColor="text1" w:themeTint="FF" w:themeShade="FF"/>
          <w:sz w:val="22"/>
          <w:szCs w:val="22"/>
        </w:rPr>
        <w:t>More recently, geopolitical concerns over supply security prompted the creation of t</w:t>
      </w:r>
      <w:r w:rsidRPr="0880C42D" w:rsidR="5792A1FE">
        <w:rPr>
          <w:rFonts w:ascii="Times New Roman" w:hAnsi="Times New Roman"/>
          <w:b w:val="0"/>
          <w:bCs w:val="0"/>
          <w:color w:val="000000" w:themeColor="text1" w:themeTint="FF" w:themeShade="FF"/>
          <w:sz w:val="22"/>
          <w:szCs w:val="22"/>
        </w:rPr>
        <w:t>he Minerals Security Partnership (2022)</w:t>
      </w:r>
      <w:r w:rsidRPr="0880C42D" w:rsidR="34363B75">
        <w:rPr>
          <w:rFonts w:ascii="Times New Roman" w:hAnsi="Times New Roman"/>
          <w:b w:val="0"/>
          <w:bCs w:val="0"/>
          <w:color w:val="000000" w:themeColor="text1" w:themeTint="FF" w:themeShade="FF"/>
          <w:sz w:val="22"/>
          <w:szCs w:val="22"/>
        </w:rPr>
        <w:t>, bringing together major consumer economies (the</w:t>
      </w:r>
      <w:r w:rsidRPr="0880C42D" w:rsidR="5792A1FE">
        <w:rPr>
          <w:rFonts w:ascii="Times New Roman" w:hAnsi="Times New Roman"/>
          <w:b w:val="0"/>
          <w:bCs w:val="0"/>
          <w:color w:val="000000" w:themeColor="text1" w:themeTint="FF" w:themeShade="FF"/>
          <w:sz w:val="22"/>
          <w:szCs w:val="22"/>
        </w:rPr>
        <w:t xml:space="preserve"> United States, European Union, Japan, and South Korea</w:t>
      </w:r>
      <w:r w:rsidRPr="0880C42D" w:rsidR="4BF188E8">
        <w:rPr>
          <w:rFonts w:ascii="Times New Roman" w:hAnsi="Times New Roman"/>
          <w:b w:val="0"/>
          <w:bCs w:val="0"/>
          <w:color w:val="000000" w:themeColor="text1" w:themeTint="FF" w:themeShade="FF"/>
          <w:sz w:val="22"/>
          <w:szCs w:val="22"/>
        </w:rPr>
        <w:t>)</w:t>
      </w:r>
      <w:r w:rsidRPr="0880C42D" w:rsidR="5792A1FE">
        <w:rPr>
          <w:rFonts w:ascii="Times New Roman" w:hAnsi="Times New Roman"/>
          <w:b w:val="0"/>
          <w:bCs w:val="0"/>
          <w:color w:val="000000" w:themeColor="text1" w:themeTint="FF" w:themeShade="FF"/>
          <w:sz w:val="22"/>
          <w:szCs w:val="22"/>
        </w:rPr>
        <w:t xml:space="preserve"> to coordinate investments and reduce dependence on concentrated suppliers. </w:t>
      </w:r>
      <w:r w:rsidRPr="0880C42D" w:rsidR="20AA79F8">
        <w:rPr>
          <w:rFonts w:ascii="Times New Roman" w:hAnsi="Times New Roman"/>
          <w:b w:val="0"/>
          <w:bCs w:val="0"/>
          <w:color w:val="000000" w:themeColor="text1" w:themeTint="FF" w:themeShade="FF"/>
          <w:sz w:val="22"/>
          <w:szCs w:val="22"/>
        </w:rPr>
        <w:t>Although the initiative addresses strategic vulnerabilities, c</w:t>
      </w:r>
      <w:r w:rsidRPr="0880C42D" w:rsidR="5792A1FE">
        <w:rPr>
          <w:rFonts w:ascii="Times New Roman" w:hAnsi="Times New Roman"/>
          <w:b w:val="0"/>
          <w:bCs w:val="0"/>
          <w:color w:val="000000" w:themeColor="text1" w:themeTint="FF" w:themeShade="FF"/>
          <w:sz w:val="22"/>
          <w:szCs w:val="22"/>
        </w:rPr>
        <w:t xml:space="preserve">ritics argue that </w:t>
      </w:r>
      <w:r w:rsidRPr="0880C42D" w:rsidR="036874D0">
        <w:rPr>
          <w:rFonts w:ascii="Times New Roman" w:hAnsi="Times New Roman"/>
          <w:b w:val="0"/>
          <w:bCs w:val="0"/>
          <w:color w:val="000000" w:themeColor="text1" w:themeTint="FF" w:themeShade="FF"/>
          <w:sz w:val="22"/>
          <w:szCs w:val="22"/>
        </w:rPr>
        <w:t xml:space="preserve">it </w:t>
      </w:r>
      <w:r w:rsidRPr="0880C42D" w:rsidR="5792A1FE">
        <w:rPr>
          <w:rFonts w:ascii="Times New Roman" w:hAnsi="Times New Roman"/>
          <w:b w:val="0"/>
          <w:bCs w:val="0"/>
          <w:color w:val="000000" w:themeColor="text1" w:themeTint="FF" w:themeShade="FF"/>
          <w:sz w:val="22"/>
          <w:szCs w:val="22"/>
        </w:rPr>
        <w:t>insufficiently in</w:t>
      </w:r>
      <w:r w:rsidRPr="0880C42D" w:rsidR="3D08CBD1">
        <w:rPr>
          <w:rFonts w:ascii="Times New Roman" w:hAnsi="Times New Roman"/>
          <w:b w:val="0"/>
          <w:bCs w:val="0"/>
          <w:color w:val="000000" w:themeColor="text1" w:themeTint="FF" w:themeShade="FF"/>
          <w:sz w:val="22"/>
          <w:szCs w:val="22"/>
        </w:rPr>
        <w:t>volv</w:t>
      </w:r>
      <w:r w:rsidRPr="0880C42D" w:rsidR="5792A1FE">
        <w:rPr>
          <w:rFonts w:ascii="Times New Roman" w:hAnsi="Times New Roman"/>
          <w:b w:val="0"/>
          <w:bCs w:val="0"/>
          <w:color w:val="000000" w:themeColor="text1" w:themeTint="FF" w:themeShade="FF"/>
          <w:sz w:val="22"/>
          <w:szCs w:val="22"/>
        </w:rPr>
        <w:t xml:space="preserve">es producer nations, </w:t>
      </w:r>
      <w:r w:rsidRPr="0880C42D" w:rsidR="03A923A6">
        <w:rPr>
          <w:rFonts w:ascii="Times New Roman" w:hAnsi="Times New Roman"/>
          <w:b w:val="0"/>
          <w:bCs w:val="0"/>
          <w:color w:val="000000" w:themeColor="text1" w:themeTint="FF" w:themeShade="FF"/>
          <w:sz w:val="22"/>
          <w:szCs w:val="22"/>
        </w:rPr>
        <w:t xml:space="preserve">potentially reinforcing existing power imbalances and inclusiveness. </w:t>
      </w:r>
    </w:p>
    <w:p w:rsidR="03A923A6" w:rsidP="0880C42D" w:rsidRDefault="03A923A6" w14:paraId="5DAF6918" w14:textId="3210CC85">
      <w:pPr>
        <w:pStyle w:val="SectionTitle"/>
        <w:ind w:firstLine="720"/>
        <w:rPr>
          <w:rFonts w:ascii="Times New Roman" w:hAnsi="Times New Roman"/>
          <w:b w:val="0"/>
          <w:bCs w:val="0"/>
          <w:color w:val="000000" w:themeColor="text1" w:themeTint="FF" w:themeShade="FF"/>
          <w:sz w:val="22"/>
          <w:szCs w:val="22"/>
        </w:rPr>
      </w:pPr>
      <w:r w:rsidRPr="0880C42D" w:rsidR="03A923A6">
        <w:rPr>
          <w:rFonts w:ascii="Times New Roman" w:hAnsi="Times New Roman"/>
          <w:b w:val="0"/>
          <w:bCs w:val="0"/>
          <w:color w:val="000000" w:themeColor="text1" w:themeTint="FF" w:themeShade="FF"/>
          <w:sz w:val="22"/>
          <w:szCs w:val="22"/>
        </w:rPr>
        <w:t xml:space="preserve">Regulatory approaches have also begun to emerge. </w:t>
      </w:r>
      <w:r w:rsidRPr="0880C42D" w:rsidR="52C0C484">
        <w:rPr>
          <w:rFonts w:ascii="Times New Roman" w:hAnsi="Times New Roman"/>
          <w:b w:val="0"/>
          <w:bCs w:val="0"/>
          <w:color w:val="000000" w:themeColor="text1" w:themeTint="FF" w:themeShade="FF"/>
          <w:sz w:val="22"/>
          <w:szCs w:val="22"/>
        </w:rPr>
        <w:t xml:space="preserve">The European Union Battery Regulation (2023/1542) introduced mandatory due diligence, carbon footprint disclosure, and recycling requirements for batteries placed on the EU market. This regulation </w:t>
      </w:r>
      <w:r w:rsidRPr="0880C42D" w:rsidR="52C0C484">
        <w:rPr>
          <w:rFonts w:ascii="Times New Roman" w:hAnsi="Times New Roman"/>
          <w:b w:val="0"/>
          <w:bCs w:val="0"/>
          <w:color w:val="000000" w:themeColor="text1" w:themeTint="FF" w:themeShade="FF"/>
          <w:sz w:val="22"/>
          <w:szCs w:val="22"/>
        </w:rPr>
        <w:t>represents</w:t>
      </w:r>
      <w:r w:rsidRPr="0880C42D" w:rsidR="52C0C484">
        <w:rPr>
          <w:rFonts w:ascii="Times New Roman" w:hAnsi="Times New Roman"/>
          <w:b w:val="0"/>
          <w:bCs w:val="0"/>
          <w:color w:val="000000" w:themeColor="text1" w:themeTint="FF" w:themeShade="FF"/>
          <w:sz w:val="22"/>
          <w:szCs w:val="22"/>
        </w:rPr>
        <w:t xml:space="preserve"> one of the first legally binding frameworks governing CETM supply chains but is limited in geographic scope.</w:t>
      </w:r>
    </w:p>
    <w:p w:rsidR="236BD362" w:rsidP="0880C42D" w:rsidRDefault="236BD362" w14:paraId="51690C48" w14:textId="6048E37B">
      <w:pPr>
        <w:pStyle w:val="SectionTitle"/>
        <w:ind w:firstLine="720"/>
        <w:rPr>
          <w:rFonts w:ascii="Times New Roman" w:hAnsi="Times New Roman"/>
          <w:b w:val="0"/>
          <w:bCs w:val="0"/>
          <w:color w:val="000000" w:themeColor="text1" w:themeTint="FF" w:themeShade="FF"/>
          <w:sz w:val="22"/>
          <w:szCs w:val="22"/>
        </w:rPr>
      </w:pPr>
      <w:r w:rsidRPr="0880C42D" w:rsidR="236BD362">
        <w:rPr>
          <w:rFonts w:ascii="Times New Roman" w:hAnsi="Times New Roman"/>
          <w:b w:val="0"/>
          <w:bCs w:val="0"/>
          <w:color w:val="000000" w:themeColor="text1" w:themeTint="FF" w:themeShade="FF"/>
          <w:sz w:val="22"/>
          <w:szCs w:val="22"/>
        </w:rPr>
        <w:t>At the multilateral level, t</w:t>
      </w:r>
      <w:r w:rsidRPr="0880C42D" w:rsidR="52C0C484">
        <w:rPr>
          <w:rFonts w:ascii="Times New Roman" w:hAnsi="Times New Roman"/>
          <w:b w:val="0"/>
          <w:bCs w:val="0"/>
          <w:color w:val="000000" w:themeColor="text1" w:themeTint="FF" w:themeShade="FF"/>
          <w:sz w:val="22"/>
          <w:szCs w:val="22"/>
        </w:rPr>
        <w:t xml:space="preserve">he G7 Critical Minerals Action Plan (2025) aimed to promote standards-based markets incentivizing minerals produced under high environmental and labor standards through premium pricing. While ambitious, its success depends on </w:t>
      </w:r>
      <w:r w:rsidRPr="0880C42D" w:rsidR="52C0C484">
        <w:rPr>
          <w:rFonts w:ascii="Times New Roman" w:hAnsi="Times New Roman"/>
          <w:b w:val="0"/>
          <w:bCs w:val="0"/>
          <w:color w:val="000000" w:themeColor="text1" w:themeTint="FF" w:themeShade="FF"/>
          <w:sz w:val="22"/>
          <w:szCs w:val="22"/>
        </w:rPr>
        <w:t xml:space="preserve">coordination with producer states and private-sector compliance. </w:t>
      </w:r>
    </w:p>
    <w:p xmlns:wp14="http://schemas.microsoft.com/office/word/2010/wordml" w:rsidRPr="006A2016" w:rsidR="006A2016" w:rsidP="006A2016" w:rsidRDefault="006A2016" w14:paraId="049F31CB" wp14:textId="77777777">
      <w:pPr>
        <w:pStyle w:val="1"/>
        <w:spacing w:line="360" w:lineRule="auto"/>
        <w:rPr>
          <w:rFonts w:ascii="Times New Roman" w:hAnsi="Times New Roman"/>
          <w:sz w:val="22"/>
        </w:rPr>
      </w:pPr>
    </w:p>
    <w:p xmlns:wp14="http://schemas.microsoft.com/office/word/2010/wordml" w:rsidRPr="006A2016" w:rsidR="00131055" w:rsidP="0880C42D" w:rsidRDefault="00131055" w14:paraId="16A0ED98" wp14:textId="529F302F">
      <w:pPr>
        <w:pStyle w:val="SectionTitle"/>
        <w:spacing w:line="360" w:lineRule="auto"/>
        <w:rPr>
          <w:rFonts w:ascii="Times New Roman" w:hAnsi="Times New Roman"/>
          <w:color w:val="548DD4"/>
        </w:rPr>
      </w:pPr>
      <w:r w:rsidRPr="0880C42D" w:rsidR="00131055">
        <w:rPr>
          <w:rFonts w:ascii="Times New Roman" w:hAnsi="Times New Roman"/>
          <w:color w:val="548DD4"/>
        </w:rPr>
        <w:t>Possible Solutions</w:t>
      </w:r>
    </w:p>
    <w:p w:rsidR="2DB70F09" w:rsidP="0880C42D" w:rsidRDefault="2DB70F09" w14:paraId="095CC366" w14:textId="15879F9C">
      <w:pPr>
        <w:spacing w:before="240" w:beforeAutospacing="off" w:after="240" w:afterAutospacing="off" w:line="360" w:lineRule="auto"/>
        <w:ind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2DB70F0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Addressing this issue requires a multi-layered approach that combines national legislation, environmental safeguards, and international cooperation. Since international bodies lack the authority to legally bind sovereign states, a key solution lies in the strengthening of domestic enforcement mechanisms. Existing frameworks, such as the OECD Due Diligence Guidance and the UN Guiding Principles on Business and Human Rights, should serve as the blueprint for mandatory national due diligence legislation. By enacting such laws, member states can require companies to proof-check their entire supply chains for human rights abuses (such as child labor or toxic waste dumping) as a condition for market access. Transparency can be further enhanced through the implementation of Global Battery Passports, allowing for digital tracking of materials.</w:t>
      </w:r>
      <w:r w:rsidRPr="0880C42D" w:rsidR="167E605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w:rsidR="2DB70F09" w:rsidP="0880C42D" w:rsidRDefault="2DB70F09" w14:paraId="7E09DF8E" w14:textId="5ADA4578">
      <w:pPr>
        <w:spacing w:before="240" w:beforeAutospacing="off" w:after="240" w:afterAutospacing="off" w:line="360" w:lineRule="auto"/>
        <w:ind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2DB70F0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Equally important is the promotion of sustainable mining through technological and social formalization. To solve the water crisis in lithium-rich regions, international development funding should be diverted toward DLE technologies. To ensure these technological gains reach the local level, member states should pursue ESG-Conditional Partnerships. Instead of prioritizing the lowest cost, consumer nations can use trade levers, such as tax breaks or preferential trade status, to reward producer nations that formalize ASM into legal cooperatives. This provides miners with safety equipment and fair-trade access, directly addressing the social exploitation currently found in cobalt and nickel supply chains.</w:t>
      </w:r>
    </w:p>
    <w:p w:rsidR="2DB70F09" w:rsidP="0880C42D" w:rsidRDefault="2DB70F09" w14:paraId="0E8C7E56" w14:textId="7BC91E68">
      <w:pPr>
        <w:spacing w:before="240" w:beforeAutospacing="off" w:after="240" w:afterAutospacing="off" w:line="360" w:lineRule="auto"/>
        <w:ind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2DB70F0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Finally, advancing circular economy solutions offers the only long-term path to reducing primary extraction. Member states must move beyond voluntary recycling to implement regulatory push mechanisms, specifically an Extended Producer Responsibility (EPR) plan. Under EPR, manufacturers are legally and financially responsible for the collection and processing of batteries at the end of their life cycle. When combined with recycled content mandates (requiring a specific percentage of urban mined minerals in all new batteries), these policies reduce the need for new, environmentally damaging mines. By expanding multilateral platforms like the Minerals Security Partnership (MSP) to include producer nations and civil society, the international community can ensure the energy transition is not only technologically </w:t>
      </w:r>
      <w:r w:rsidRPr="0880C42D" w:rsidR="2DB70F0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feasible</w:t>
      </w:r>
      <w:r w:rsidRPr="0880C42D" w:rsidR="2DB70F0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but also ethical and inclusive.</w:t>
      </w:r>
    </w:p>
    <w:p w:rsidR="0880C42D" w:rsidP="0880C42D" w:rsidRDefault="0880C42D" w14:paraId="385C7C9F" w14:textId="62649122">
      <w:pPr>
        <w:spacing w:line="360" w:lineRule="auto"/>
        <w:rPr>
          <w:rFonts w:ascii="Times New Roman" w:hAnsi="Times New Roman"/>
          <w:color w:val="000000" w:themeColor="text1" w:themeTint="FF" w:themeShade="FF"/>
          <w:sz w:val="22"/>
          <w:szCs w:val="22"/>
        </w:rPr>
      </w:pPr>
    </w:p>
    <w:p xmlns:wp14="http://schemas.microsoft.com/office/word/2010/wordml" w:rsidRPr="006A2016" w:rsidR="00131055" w:rsidP="006A2016" w:rsidRDefault="00131055" w14:paraId="53128261" wp14:textId="77777777">
      <w:pPr>
        <w:spacing w:line="360" w:lineRule="auto"/>
        <w:rPr>
          <w:rFonts w:ascii="Times New Roman" w:hAnsi="Times New Roman"/>
          <w:sz w:val="22"/>
        </w:rPr>
      </w:pPr>
    </w:p>
    <w:p w:rsidR="00131055" w:rsidP="0880C42D" w:rsidRDefault="00131055" w14:paraId="4769B3AB" w14:textId="39B9F8D5">
      <w:pPr>
        <w:pStyle w:val="SectionTitle"/>
        <w:rPr>
          <w:rFonts w:ascii="Times New Roman" w:hAnsi="Times New Roman"/>
          <w:color w:val="548DD4"/>
        </w:rPr>
      </w:pPr>
      <w:r w:rsidRPr="0880C42D" w:rsidR="00131055">
        <w:rPr>
          <w:rFonts w:ascii="Times New Roman" w:hAnsi="Times New Roman"/>
          <w:color w:val="548DD4"/>
        </w:rPr>
        <w:t>Bibliography</w:t>
      </w:r>
    </w:p>
    <w:p w:rsidR="0746A623" w:rsidP="0880C42D" w:rsidRDefault="0746A623" w14:paraId="59808A52" w14:textId="079C1FD6">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r w:rsidRPr="0880C42D" w:rsidR="0746A623">
        <w:rPr>
          <w:rFonts w:ascii="Times New Roman" w:hAnsi="Times New Roman" w:eastAsia="Times New Roman" w:cs="Times New Roman"/>
          <w:b w:val="1"/>
          <w:bCs w:val="1"/>
          <w:noProof w:val="0"/>
          <w:sz w:val="22"/>
          <w:szCs w:val="22"/>
          <w:lang w:val="en-US"/>
        </w:rPr>
        <w:t>Amnesty International.</w:t>
      </w:r>
      <w:r w:rsidRPr="0880C42D" w:rsidR="0746A623">
        <w:rPr>
          <w:rFonts w:ascii="Times New Roman" w:hAnsi="Times New Roman" w:eastAsia="Times New Roman" w:cs="Times New Roman"/>
          <w:noProof w:val="0"/>
          <w:sz w:val="22"/>
          <w:szCs w:val="22"/>
          <w:lang w:val="en-US"/>
        </w:rPr>
        <w:t xml:space="preserve"> </w:t>
      </w:r>
      <w:r w:rsidRPr="0880C42D" w:rsidR="0746A623">
        <w:rPr>
          <w:rFonts w:ascii="Times New Roman" w:hAnsi="Times New Roman" w:eastAsia="Times New Roman" w:cs="Times New Roman"/>
          <w:i w:val="1"/>
          <w:iCs w:val="1"/>
          <w:noProof w:val="0"/>
          <w:sz w:val="22"/>
          <w:szCs w:val="22"/>
          <w:lang w:val="en-US"/>
        </w:rPr>
        <w:t>“Powering Change or Business as Usual?”</w:t>
      </w:r>
      <w:r w:rsidRPr="0880C42D" w:rsidR="0746A623">
        <w:rPr>
          <w:rFonts w:ascii="Times New Roman" w:hAnsi="Times New Roman" w:eastAsia="Times New Roman" w:cs="Times New Roman"/>
          <w:noProof w:val="0"/>
          <w:sz w:val="22"/>
          <w:szCs w:val="22"/>
          <w:lang w:val="en-US"/>
        </w:rPr>
        <w:t xml:space="preserve"> 2021,</w:t>
      </w:r>
      <w:r>
        <w:br/>
      </w:r>
      <w:r w:rsidRPr="0880C42D" w:rsidR="0746A623">
        <w:rPr>
          <w:rFonts w:ascii="Times New Roman" w:hAnsi="Times New Roman" w:eastAsia="Times New Roman" w:cs="Times New Roman"/>
          <w:noProof w:val="0"/>
          <w:sz w:val="22"/>
          <w:szCs w:val="22"/>
          <w:lang w:val="en-US"/>
        </w:rPr>
        <w:t xml:space="preserve"> </w:t>
      </w:r>
      <w:hyperlink r:id="R47be16b709d34964">
        <w:r w:rsidRPr="0880C42D" w:rsidR="0746A623">
          <w:rPr>
            <w:rStyle w:val="Hyperlink"/>
            <w:rFonts w:ascii="Times New Roman" w:hAnsi="Times New Roman" w:eastAsia="Times New Roman" w:cs="Times New Roman"/>
            <w:noProof w:val="0"/>
            <w:sz w:val="22"/>
            <w:szCs w:val="22"/>
            <w:lang w:val="en-US"/>
          </w:rPr>
          <w:t>https://www.amnesty.org/en/documents/act30/3544/2021/en/</w:t>
        </w:r>
      </w:hyperlink>
      <w:r w:rsidRPr="0880C42D" w:rsidR="0746A623">
        <w:rPr>
          <w:rFonts w:ascii="Times New Roman" w:hAnsi="Times New Roman" w:eastAsia="Times New Roman" w:cs="Times New Roman"/>
          <w:noProof w:val="0"/>
          <w:sz w:val="22"/>
          <w:szCs w:val="22"/>
          <w:lang w:val="en-US"/>
        </w:rPr>
        <w:t>.</w:t>
      </w:r>
    </w:p>
    <w:p w:rsidR="0880C42D" w:rsidP="0880C42D" w:rsidRDefault="0880C42D" w14:paraId="65D3E588" w14:textId="668BCDD5">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p>
    <w:p w:rsidR="0880C42D" w:rsidP="0880C42D" w:rsidRDefault="0880C42D" w14:paraId="0D69D87B" w14:textId="480579F4">
      <w:pPr>
        <w:spacing w:before="0" w:beforeAutospacing="off" w:after="0" w:afterAutospacing="off"/>
        <w:ind w:left="720" w:right="0" w:hanging="72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746A623" w:rsidP="0880C42D" w:rsidRDefault="0746A623" w14:paraId="768B2720" w14:textId="34198A95">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r w:rsidRPr="0880C42D" w:rsidR="0746A623">
        <w:rPr>
          <w:rFonts w:ascii="Times New Roman" w:hAnsi="Times New Roman" w:eastAsia="Times New Roman" w:cs="Times New Roman"/>
          <w:b w:val="1"/>
          <w:bCs w:val="1"/>
          <w:noProof w:val="0"/>
          <w:sz w:val="22"/>
          <w:szCs w:val="22"/>
          <w:lang w:val="en-US"/>
        </w:rPr>
        <w:t>European Union.</w:t>
      </w:r>
      <w:r w:rsidRPr="0880C42D" w:rsidR="0746A623">
        <w:rPr>
          <w:rFonts w:ascii="Times New Roman" w:hAnsi="Times New Roman" w:eastAsia="Times New Roman" w:cs="Times New Roman"/>
          <w:noProof w:val="0"/>
          <w:sz w:val="22"/>
          <w:szCs w:val="22"/>
          <w:lang w:val="en-US"/>
        </w:rPr>
        <w:t xml:space="preserve"> </w:t>
      </w:r>
      <w:r w:rsidRPr="0880C42D" w:rsidR="0746A623">
        <w:rPr>
          <w:rFonts w:ascii="Times New Roman" w:hAnsi="Times New Roman" w:eastAsia="Times New Roman" w:cs="Times New Roman"/>
          <w:i w:val="1"/>
          <w:iCs w:val="1"/>
          <w:noProof w:val="0"/>
          <w:sz w:val="22"/>
          <w:szCs w:val="22"/>
          <w:lang w:val="en-US"/>
        </w:rPr>
        <w:t>Regulation (EU) 2023/1542 on Batteries and Waste Batteries.</w:t>
      </w:r>
      <w:r w:rsidRPr="0880C42D" w:rsidR="0746A623">
        <w:rPr>
          <w:rFonts w:ascii="Times New Roman" w:hAnsi="Times New Roman" w:eastAsia="Times New Roman" w:cs="Times New Roman"/>
          <w:noProof w:val="0"/>
          <w:sz w:val="22"/>
          <w:szCs w:val="22"/>
          <w:lang w:val="en-US"/>
        </w:rPr>
        <w:t xml:space="preserve"> 2023,</w:t>
      </w:r>
      <w:r>
        <w:br/>
      </w:r>
      <w:r w:rsidRPr="0880C42D" w:rsidR="0746A623">
        <w:rPr>
          <w:rFonts w:ascii="Times New Roman" w:hAnsi="Times New Roman" w:eastAsia="Times New Roman" w:cs="Times New Roman"/>
          <w:noProof w:val="0"/>
          <w:sz w:val="22"/>
          <w:szCs w:val="22"/>
          <w:lang w:val="en-US"/>
        </w:rPr>
        <w:t xml:space="preserve"> </w:t>
      </w:r>
      <w:hyperlink r:id="R61c83f96fab34f95">
        <w:r w:rsidRPr="0880C42D" w:rsidR="0746A623">
          <w:rPr>
            <w:rStyle w:val="Hyperlink"/>
            <w:rFonts w:ascii="Times New Roman" w:hAnsi="Times New Roman" w:eastAsia="Times New Roman" w:cs="Times New Roman"/>
            <w:b w:val="1"/>
            <w:bCs w:val="1"/>
            <w:noProof w:val="0"/>
            <w:sz w:val="22"/>
            <w:szCs w:val="22"/>
            <w:lang w:val="en-US"/>
          </w:rPr>
          <w:t>https://eur-lex.europa.eu/eli/reg/2023/1542/oj/eng</w:t>
        </w:r>
      </w:hyperlink>
      <w:r w:rsidRPr="0880C42D" w:rsidR="0746A623">
        <w:rPr>
          <w:rFonts w:ascii="Times New Roman" w:hAnsi="Times New Roman" w:eastAsia="Times New Roman" w:cs="Times New Roman"/>
          <w:noProof w:val="0"/>
          <w:sz w:val="22"/>
          <w:szCs w:val="22"/>
          <w:lang w:val="en-US"/>
        </w:rPr>
        <w:t>.</w:t>
      </w:r>
    </w:p>
    <w:p w:rsidR="0880C42D" w:rsidP="0880C42D" w:rsidRDefault="0880C42D" w14:paraId="426D7284" w14:textId="07689CCB">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p>
    <w:p w:rsidR="0880C42D" w:rsidP="0880C42D" w:rsidRDefault="0880C42D" w14:paraId="28EFC050" w14:textId="44E60307">
      <w:pPr>
        <w:pStyle w:val="Normal"/>
        <w:spacing w:before="0" w:beforeAutospacing="off" w:after="0" w:afterAutospacing="off"/>
        <w:ind w:left="720" w:right="0" w:hanging="720"/>
        <w:jc w:val="left"/>
        <w:rPr>
          <w:rFonts w:ascii="Times New Roman" w:hAnsi="Times New Roman" w:eastAsia="Times New Roman" w:cs="Times New Roman"/>
          <w:b w:val="1"/>
          <w:bCs w:val="1"/>
          <w:noProof w:val="0"/>
          <w:sz w:val="22"/>
          <w:szCs w:val="22"/>
          <w:lang w:val="en-US"/>
        </w:rPr>
      </w:pPr>
    </w:p>
    <w:p w:rsidR="4EE6AB0B" w:rsidP="0880C42D" w:rsidRDefault="4EE6AB0B" w14:paraId="5E043B35" w14:textId="453D0BCC">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r w:rsidRPr="0880C42D" w:rsidR="4EE6AB0B">
        <w:rPr>
          <w:rFonts w:ascii="Times New Roman" w:hAnsi="Times New Roman" w:eastAsia="Times New Roman" w:cs="Times New Roman"/>
          <w:b w:val="1"/>
          <w:bCs w:val="1"/>
          <w:noProof w:val="0"/>
          <w:sz w:val="22"/>
          <w:szCs w:val="22"/>
          <w:lang w:val="en-US"/>
        </w:rPr>
        <w:t>Extractive Industries Transparency Initiative (EITI).</w:t>
      </w:r>
      <w:r w:rsidRPr="0880C42D" w:rsidR="4EE6AB0B">
        <w:rPr>
          <w:rFonts w:ascii="Times New Roman" w:hAnsi="Times New Roman" w:eastAsia="Times New Roman" w:cs="Times New Roman"/>
          <w:noProof w:val="0"/>
          <w:sz w:val="22"/>
          <w:szCs w:val="22"/>
          <w:lang w:val="en-US"/>
        </w:rPr>
        <w:t xml:space="preserve"> </w:t>
      </w:r>
      <w:r w:rsidRPr="0880C42D" w:rsidR="4EE6AB0B">
        <w:rPr>
          <w:rFonts w:ascii="Times New Roman" w:hAnsi="Times New Roman" w:eastAsia="Times New Roman" w:cs="Times New Roman"/>
          <w:i w:val="1"/>
          <w:iCs w:val="1"/>
          <w:noProof w:val="0"/>
          <w:sz w:val="22"/>
          <w:szCs w:val="22"/>
          <w:lang w:val="en-US"/>
        </w:rPr>
        <w:t>The EITI Standard 2023.</w:t>
      </w:r>
      <w:r w:rsidRPr="0880C42D" w:rsidR="4EE6AB0B">
        <w:rPr>
          <w:rFonts w:ascii="Times New Roman" w:hAnsi="Times New Roman" w:eastAsia="Times New Roman" w:cs="Times New Roman"/>
          <w:noProof w:val="0"/>
          <w:sz w:val="22"/>
          <w:szCs w:val="22"/>
          <w:lang w:val="en-US"/>
        </w:rPr>
        <w:t>,</w:t>
      </w:r>
      <w:r>
        <w:br/>
      </w:r>
      <w:r w:rsidRPr="0880C42D" w:rsidR="4EE6AB0B">
        <w:rPr>
          <w:rFonts w:ascii="Times New Roman" w:hAnsi="Times New Roman" w:eastAsia="Times New Roman" w:cs="Times New Roman"/>
          <w:noProof w:val="0"/>
          <w:sz w:val="22"/>
          <w:szCs w:val="22"/>
          <w:lang w:val="en-US"/>
        </w:rPr>
        <w:t xml:space="preserve"> </w:t>
      </w:r>
      <w:hyperlink r:id="R3915ab156fc1469a">
        <w:r w:rsidRPr="0880C42D" w:rsidR="4EE6AB0B">
          <w:rPr>
            <w:rStyle w:val="Hyperlink"/>
            <w:rFonts w:ascii="Times New Roman" w:hAnsi="Times New Roman" w:eastAsia="Times New Roman" w:cs="Times New Roman"/>
            <w:noProof w:val="0"/>
            <w:sz w:val="22"/>
            <w:szCs w:val="22"/>
            <w:lang w:val="en-US"/>
          </w:rPr>
          <w:t>https://eiti.org/standards</w:t>
        </w:r>
      </w:hyperlink>
      <w:r w:rsidRPr="0880C42D" w:rsidR="4EE6AB0B">
        <w:rPr>
          <w:rFonts w:ascii="Times New Roman" w:hAnsi="Times New Roman" w:eastAsia="Times New Roman" w:cs="Times New Roman"/>
          <w:noProof w:val="0"/>
          <w:sz w:val="22"/>
          <w:szCs w:val="22"/>
          <w:lang w:val="en-US"/>
        </w:rPr>
        <w:t>.</w:t>
      </w:r>
    </w:p>
    <w:p w:rsidR="0880C42D" w:rsidP="0880C42D" w:rsidRDefault="0880C42D" w14:paraId="2872DE16" w14:textId="0B65544F">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p>
    <w:p w:rsidR="0880C42D" w:rsidP="0880C42D" w:rsidRDefault="0880C42D" w14:paraId="185D3DF0" w14:textId="722BDC7A">
      <w:pPr>
        <w:pStyle w:val="Normal"/>
        <w:spacing w:before="0" w:beforeAutospacing="off" w:after="0" w:afterAutospacing="off"/>
        <w:ind w:left="720" w:right="0" w:hanging="720"/>
        <w:jc w:val="left"/>
        <w:rPr>
          <w:rFonts w:ascii="Times New Roman" w:hAnsi="Times New Roman" w:eastAsia="Times New Roman" w:cs="Times New Roman"/>
          <w:b w:val="1"/>
          <w:bCs w:val="1"/>
          <w:noProof w:val="0"/>
          <w:sz w:val="22"/>
          <w:szCs w:val="22"/>
          <w:lang w:val="en-US"/>
        </w:rPr>
      </w:pPr>
    </w:p>
    <w:p w:rsidR="4EE6AB0B" w:rsidP="0880C42D" w:rsidRDefault="4EE6AB0B" w14:paraId="52FFD764" w14:textId="75212C6A">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r w:rsidRPr="0880C42D" w:rsidR="4EE6AB0B">
        <w:rPr>
          <w:rFonts w:ascii="Times New Roman" w:hAnsi="Times New Roman" w:eastAsia="Times New Roman" w:cs="Times New Roman"/>
          <w:b w:val="1"/>
          <w:bCs w:val="1"/>
          <w:noProof w:val="0"/>
          <w:sz w:val="22"/>
          <w:szCs w:val="22"/>
          <w:lang w:val="en-US"/>
        </w:rPr>
        <w:t>G7.</w:t>
      </w:r>
      <w:r w:rsidRPr="0880C42D" w:rsidR="4EE6AB0B">
        <w:rPr>
          <w:rFonts w:ascii="Times New Roman" w:hAnsi="Times New Roman" w:eastAsia="Times New Roman" w:cs="Times New Roman"/>
          <w:noProof w:val="0"/>
          <w:sz w:val="22"/>
          <w:szCs w:val="22"/>
          <w:lang w:val="en-US"/>
        </w:rPr>
        <w:t xml:space="preserve"> </w:t>
      </w:r>
      <w:r w:rsidRPr="0880C42D" w:rsidR="4EE6AB0B">
        <w:rPr>
          <w:rFonts w:ascii="Times New Roman" w:hAnsi="Times New Roman" w:eastAsia="Times New Roman" w:cs="Times New Roman"/>
          <w:i w:val="1"/>
          <w:iCs w:val="1"/>
          <w:noProof w:val="0"/>
          <w:sz w:val="22"/>
          <w:szCs w:val="22"/>
          <w:lang w:val="en-US"/>
        </w:rPr>
        <w:t>Five-Point Plan for Critical Minerals Security.</w:t>
      </w:r>
      <w:r w:rsidRPr="0880C42D" w:rsidR="4EE6AB0B">
        <w:rPr>
          <w:rFonts w:ascii="Times New Roman" w:hAnsi="Times New Roman" w:eastAsia="Times New Roman" w:cs="Times New Roman"/>
          <w:noProof w:val="0"/>
          <w:sz w:val="22"/>
          <w:szCs w:val="22"/>
          <w:lang w:val="en-US"/>
        </w:rPr>
        <w:t>, 2023,</w:t>
      </w:r>
      <w:r>
        <w:br/>
      </w:r>
      <w:r w:rsidRPr="0880C42D" w:rsidR="4EE6AB0B">
        <w:rPr>
          <w:rFonts w:ascii="Times New Roman" w:hAnsi="Times New Roman" w:eastAsia="Times New Roman" w:cs="Times New Roman"/>
          <w:noProof w:val="0"/>
          <w:sz w:val="22"/>
          <w:szCs w:val="22"/>
          <w:lang w:val="en-US"/>
        </w:rPr>
        <w:t xml:space="preserve"> </w:t>
      </w:r>
      <w:hyperlink r:id="Rb87676a4012b42ee">
        <w:r w:rsidRPr="0880C42D" w:rsidR="4EE6AB0B">
          <w:rPr>
            <w:rStyle w:val="Hyperlink"/>
            <w:rFonts w:ascii="Times New Roman" w:hAnsi="Times New Roman" w:eastAsia="Times New Roman" w:cs="Times New Roman"/>
            <w:b w:val="1"/>
            <w:bCs w:val="1"/>
            <w:noProof w:val="0"/>
            <w:sz w:val="22"/>
            <w:szCs w:val="22"/>
            <w:lang w:val="en-US"/>
          </w:rPr>
          <w:t>https://www.g7utoronto.ca/environment/2023-critical-minerals.html</w:t>
        </w:r>
      </w:hyperlink>
      <w:r w:rsidRPr="0880C42D" w:rsidR="4EE6AB0B">
        <w:rPr>
          <w:rFonts w:ascii="Times New Roman" w:hAnsi="Times New Roman" w:eastAsia="Times New Roman" w:cs="Times New Roman"/>
          <w:noProof w:val="0"/>
          <w:sz w:val="22"/>
          <w:szCs w:val="22"/>
          <w:lang w:val="en-US"/>
        </w:rPr>
        <w:t>.</w:t>
      </w:r>
    </w:p>
    <w:p w:rsidR="0880C42D" w:rsidP="0880C42D" w:rsidRDefault="0880C42D" w14:paraId="2C89D7B5" w14:textId="6D65A4F4">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p>
    <w:p w:rsidR="0880C42D" w:rsidP="0880C42D" w:rsidRDefault="0880C42D" w14:paraId="3FE9E359" w14:textId="04364DB5">
      <w:pPr>
        <w:pStyle w:val="Normal"/>
        <w:spacing w:before="0" w:beforeAutospacing="off" w:after="0" w:afterAutospacing="off"/>
        <w:ind w:left="720" w:right="0" w:hanging="720"/>
        <w:jc w:val="left"/>
        <w:rPr>
          <w:rFonts w:ascii="Times New Roman" w:hAnsi="Times New Roman" w:eastAsia="Times New Roman" w:cs="Times New Roman"/>
          <w:b w:val="1"/>
          <w:bCs w:val="1"/>
          <w:noProof w:val="0"/>
          <w:sz w:val="22"/>
          <w:szCs w:val="22"/>
          <w:lang w:val="en-US"/>
        </w:rPr>
      </w:pPr>
    </w:p>
    <w:p w:rsidR="4EE6AB0B" w:rsidP="0880C42D" w:rsidRDefault="4EE6AB0B" w14:paraId="3C7DCB67" w14:textId="077BDC4D">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r w:rsidRPr="0880C42D" w:rsidR="4EE6AB0B">
        <w:rPr>
          <w:rFonts w:ascii="Times New Roman" w:hAnsi="Times New Roman" w:eastAsia="Times New Roman" w:cs="Times New Roman"/>
          <w:b w:val="1"/>
          <w:bCs w:val="1"/>
          <w:noProof w:val="0"/>
          <w:sz w:val="22"/>
          <w:szCs w:val="22"/>
          <w:lang w:val="en-US"/>
        </w:rPr>
        <w:t>International Energy Agency (IEA).</w:t>
      </w:r>
      <w:r w:rsidRPr="0880C42D" w:rsidR="4EE6AB0B">
        <w:rPr>
          <w:rFonts w:ascii="Times New Roman" w:hAnsi="Times New Roman" w:eastAsia="Times New Roman" w:cs="Times New Roman"/>
          <w:noProof w:val="0"/>
          <w:sz w:val="22"/>
          <w:szCs w:val="22"/>
          <w:lang w:val="en-US"/>
        </w:rPr>
        <w:t xml:space="preserve"> </w:t>
      </w:r>
      <w:r w:rsidRPr="0880C42D" w:rsidR="4EE6AB0B">
        <w:rPr>
          <w:rFonts w:ascii="Times New Roman" w:hAnsi="Times New Roman" w:eastAsia="Times New Roman" w:cs="Times New Roman"/>
          <w:i w:val="1"/>
          <w:iCs w:val="1"/>
          <w:noProof w:val="0"/>
          <w:sz w:val="22"/>
          <w:szCs w:val="22"/>
          <w:lang w:val="en-US"/>
        </w:rPr>
        <w:t>The Role of Critical Minerals in Clean Energy Transitions.</w:t>
      </w:r>
      <w:r w:rsidRPr="0880C42D" w:rsidR="4EE6AB0B">
        <w:rPr>
          <w:rFonts w:ascii="Times New Roman" w:hAnsi="Times New Roman" w:eastAsia="Times New Roman" w:cs="Times New Roman"/>
          <w:noProof w:val="0"/>
          <w:sz w:val="22"/>
          <w:szCs w:val="22"/>
          <w:lang w:val="en-US"/>
        </w:rPr>
        <w:t>, 2021,</w:t>
      </w:r>
      <w:r>
        <w:br/>
      </w:r>
      <w:r w:rsidRPr="0880C42D" w:rsidR="4EE6AB0B">
        <w:rPr>
          <w:rFonts w:ascii="Times New Roman" w:hAnsi="Times New Roman" w:eastAsia="Times New Roman" w:cs="Times New Roman"/>
          <w:noProof w:val="0"/>
          <w:sz w:val="22"/>
          <w:szCs w:val="22"/>
          <w:lang w:val="en-US"/>
        </w:rPr>
        <w:t xml:space="preserve"> </w:t>
      </w:r>
      <w:hyperlink r:id="R4b044dabcaee41ef">
        <w:r w:rsidRPr="0880C42D" w:rsidR="4EE6AB0B">
          <w:rPr>
            <w:rStyle w:val="Hyperlink"/>
            <w:rFonts w:ascii="Times New Roman" w:hAnsi="Times New Roman" w:eastAsia="Times New Roman" w:cs="Times New Roman"/>
            <w:b w:val="1"/>
            <w:bCs w:val="1"/>
            <w:noProof w:val="0"/>
            <w:sz w:val="22"/>
            <w:szCs w:val="22"/>
            <w:lang w:val="en-US"/>
          </w:rPr>
          <w:t>https://www.iea.org/reports/the-role-of-critical-minerals-in-clean-energy-transitions</w:t>
        </w:r>
      </w:hyperlink>
      <w:r w:rsidRPr="0880C42D" w:rsidR="4EE6AB0B">
        <w:rPr>
          <w:rFonts w:ascii="Times New Roman" w:hAnsi="Times New Roman" w:eastAsia="Times New Roman" w:cs="Times New Roman"/>
          <w:noProof w:val="0"/>
          <w:sz w:val="22"/>
          <w:szCs w:val="22"/>
          <w:lang w:val="en-US"/>
        </w:rPr>
        <w:t>.</w:t>
      </w:r>
    </w:p>
    <w:p w:rsidR="0880C42D" w:rsidP="0880C42D" w:rsidRDefault="0880C42D" w14:paraId="0CA10753" w14:textId="39CE27E8">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p>
    <w:p w:rsidR="0880C42D" w:rsidP="0880C42D" w:rsidRDefault="0880C42D" w14:paraId="797FD5A9" w14:textId="00C470C4">
      <w:pPr>
        <w:pStyle w:val="Normal"/>
        <w:spacing w:before="0" w:beforeAutospacing="off" w:after="0" w:afterAutospacing="off"/>
        <w:ind w:left="720" w:right="0" w:hanging="720"/>
        <w:jc w:val="left"/>
        <w:rPr>
          <w:rFonts w:ascii="Times New Roman" w:hAnsi="Times New Roman" w:eastAsia="Times New Roman" w:cs="Times New Roman"/>
          <w:b w:val="1"/>
          <w:bCs w:val="1"/>
          <w:noProof w:val="0"/>
          <w:sz w:val="22"/>
          <w:szCs w:val="22"/>
          <w:lang w:val="en-US"/>
        </w:rPr>
      </w:pPr>
    </w:p>
    <w:p w:rsidR="4EE6AB0B" w:rsidP="0880C42D" w:rsidRDefault="4EE6AB0B" w14:paraId="2A9FB4D9" w14:textId="267EED23">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r w:rsidRPr="0880C42D" w:rsidR="4EE6AB0B">
        <w:rPr>
          <w:rFonts w:ascii="Times New Roman" w:hAnsi="Times New Roman" w:eastAsia="Times New Roman" w:cs="Times New Roman"/>
          <w:b w:val="1"/>
          <w:bCs w:val="1"/>
          <w:noProof w:val="0"/>
          <w:sz w:val="22"/>
          <w:szCs w:val="22"/>
          <w:lang w:val="en-US"/>
        </w:rPr>
        <w:t>International Energy Agency (IEA).</w:t>
      </w:r>
      <w:r w:rsidRPr="0880C42D" w:rsidR="4EE6AB0B">
        <w:rPr>
          <w:rFonts w:ascii="Times New Roman" w:hAnsi="Times New Roman" w:eastAsia="Times New Roman" w:cs="Times New Roman"/>
          <w:noProof w:val="0"/>
          <w:sz w:val="22"/>
          <w:szCs w:val="22"/>
          <w:lang w:val="en-US"/>
        </w:rPr>
        <w:t xml:space="preserve"> </w:t>
      </w:r>
      <w:r w:rsidRPr="0880C42D" w:rsidR="4EE6AB0B">
        <w:rPr>
          <w:rFonts w:ascii="Times New Roman" w:hAnsi="Times New Roman" w:eastAsia="Times New Roman" w:cs="Times New Roman"/>
          <w:i w:val="1"/>
          <w:iCs w:val="1"/>
          <w:noProof w:val="0"/>
          <w:sz w:val="22"/>
          <w:szCs w:val="22"/>
          <w:lang w:val="en-US"/>
        </w:rPr>
        <w:t>World Energy Outlook 2025.</w:t>
      </w:r>
      <w:r w:rsidRPr="0880C42D" w:rsidR="4EE6AB0B">
        <w:rPr>
          <w:rFonts w:ascii="Times New Roman" w:hAnsi="Times New Roman" w:eastAsia="Times New Roman" w:cs="Times New Roman"/>
          <w:noProof w:val="0"/>
          <w:sz w:val="22"/>
          <w:szCs w:val="22"/>
          <w:lang w:val="en-US"/>
        </w:rPr>
        <w:t>, 2025,</w:t>
      </w:r>
      <w:r>
        <w:br/>
      </w:r>
      <w:r w:rsidRPr="0880C42D" w:rsidR="4EE6AB0B">
        <w:rPr>
          <w:rFonts w:ascii="Times New Roman" w:hAnsi="Times New Roman" w:eastAsia="Times New Roman" w:cs="Times New Roman"/>
          <w:noProof w:val="0"/>
          <w:sz w:val="22"/>
          <w:szCs w:val="22"/>
          <w:lang w:val="en-US"/>
        </w:rPr>
        <w:t xml:space="preserve"> </w:t>
      </w:r>
      <w:hyperlink r:id="R7f88c18b7b0d45dc">
        <w:r w:rsidRPr="0880C42D" w:rsidR="4EE6AB0B">
          <w:rPr>
            <w:rStyle w:val="Hyperlink"/>
            <w:rFonts w:ascii="Times New Roman" w:hAnsi="Times New Roman" w:eastAsia="Times New Roman" w:cs="Times New Roman"/>
            <w:noProof w:val="0"/>
            <w:sz w:val="22"/>
            <w:szCs w:val="22"/>
            <w:lang w:val="en-US"/>
          </w:rPr>
          <w:t>https://www.iea.org/reports/world-energy-outlook-2025</w:t>
        </w:r>
      </w:hyperlink>
      <w:r w:rsidRPr="0880C42D" w:rsidR="4EE6AB0B">
        <w:rPr>
          <w:rFonts w:ascii="Times New Roman" w:hAnsi="Times New Roman" w:eastAsia="Times New Roman" w:cs="Times New Roman"/>
          <w:noProof w:val="0"/>
          <w:sz w:val="22"/>
          <w:szCs w:val="22"/>
          <w:lang w:val="en-US"/>
        </w:rPr>
        <w:t>.</w:t>
      </w:r>
    </w:p>
    <w:p w:rsidR="0880C42D" w:rsidP="0880C42D" w:rsidRDefault="0880C42D" w14:paraId="3C8539B3" w14:textId="0034E4DB">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p>
    <w:p w:rsidR="0880C42D" w:rsidP="0880C42D" w:rsidRDefault="0880C42D" w14:paraId="6137516A" w14:textId="1C31F54F">
      <w:pPr>
        <w:pStyle w:val="Normal"/>
        <w:spacing w:before="0" w:beforeAutospacing="off" w:after="0" w:afterAutospacing="off"/>
        <w:ind w:left="720" w:right="0" w:hanging="720"/>
        <w:jc w:val="left"/>
        <w:rPr>
          <w:rFonts w:ascii="Times New Roman" w:hAnsi="Times New Roman" w:eastAsia="Times New Roman" w:cs="Times New Roman"/>
          <w:b w:val="1"/>
          <w:bCs w:val="1"/>
          <w:noProof w:val="0"/>
          <w:sz w:val="22"/>
          <w:szCs w:val="22"/>
          <w:lang w:val="en-US"/>
        </w:rPr>
      </w:pPr>
    </w:p>
    <w:p w:rsidR="4EE6AB0B" w:rsidP="0880C42D" w:rsidRDefault="4EE6AB0B" w14:paraId="415FEADD" w14:textId="62C78E19">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r w:rsidRPr="0880C42D" w:rsidR="4EE6AB0B">
        <w:rPr>
          <w:rFonts w:ascii="Times New Roman" w:hAnsi="Times New Roman" w:eastAsia="Times New Roman" w:cs="Times New Roman"/>
          <w:b w:val="1"/>
          <w:bCs w:val="1"/>
          <w:noProof w:val="0"/>
          <w:sz w:val="22"/>
          <w:szCs w:val="22"/>
          <w:lang w:val="en-US"/>
        </w:rPr>
        <w:t>OECD.</w:t>
      </w:r>
      <w:r w:rsidRPr="0880C42D" w:rsidR="4EE6AB0B">
        <w:rPr>
          <w:rFonts w:ascii="Times New Roman" w:hAnsi="Times New Roman" w:eastAsia="Times New Roman" w:cs="Times New Roman"/>
          <w:noProof w:val="0"/>
          <w:sz w:val="22"/>
          <w:szCs w:val="22"/>
          <w:lang w:val="en-US"/>
        </w:rPr>
        <w:t xml:space="preserve"> </w:t>
      </w:r>
      <w:r w:rsidRPr="0880C42D" w:rsidR="4EE6AB0B">
        <w:rPr>
          <w:rFonts w:ascii="Times New Roman" w:hAnsi="Times New Roman" w:eastAsia="Times New Roman" w:cs="Times New Roman"/>
          <w:i w:val="1"/>
          <w:iCs w:val="1"/>
          <w:noProof w:val="0"/>
          <w:sz w:val="22"/>
          <w:szCs w:val="22"/>
          <w:lang w:val="en-US"/>
        </w:rPr>
        <w:t>OECD Due Diligence Guidance for Responsible Supply Chains of Minerals.</w:t>
      </w:r>
      <w:r w:rsidRPr="0880C42D" w:rsidR="4EE6AB0B">
        <w:rPr>
          <w:rFonts w:ascii="Times New Roman" w:hAnsi="Times New Roman" w:eastAsia="Times New Roman" w:cs="Times New Roman"/>
          <w:noProof w:val="0"/>
          <w:sz w:val="22"/>
          <w:szCs w:val="22"/>
          <w:lang w:val="en-US"/>
        </w:rPr>
        <w:t>, 3rd ed., 2016,</w:t>
      </w:r>
      <w:r>
        <w:br/>
      </w:r>
      <w:r w:rsidRPr="0880C42D" w:rsidR="4EE6AB0B">
        <w:rPr>
          <w:rFonts w:ascii="Times New Roman" w:hAnsi="Times New Roman" w:eastAsia="Times New Roman" w:cs="Times New Roman"/>
          <w:noProof w:val="0"/>
          <w:sz w:val="22"/>
          <w:szCs w:val="22"/>
          <w:lang w:val="en-US"/>
        </w:rPr>
        <w:t xml:space="preserve"> </w:t>
      </w:r>
      <w:hyperlink r:id="R6b0bbef6e6ba44fa">
        <w:r w:rsidRPr="0880C42D" w:rsidR="4EE6AB0B">
          <w:rPr>
            <w:rStyle w:val="Hyperlink"/>
            <w:rFonts w:ascii="Times New Roman" w:hAnsi="Times New Roman" w:eastAsia="Times New Roman" w:cs="Times New Roman"/>
            <w:b w:val="1"/>
            <w:bCs w:val="1"/>
            <w:noProof w:val="0"/>
            <w:sz w:val="22"/>
            <w:szCs w:val="22"/>
            <w:lang w:val="en-US"/>
          </w:rPr>
          <w:t>https://www.oecd.org/mining/due-diligence-guidance/</w:t>
        </w:r>
      </w:hyperlink>
      <w:r w:rsidRPr="0880C42D" w:rsidR="4EE6AB0B">
        <w:rPr>
          <w:rFonts w:ascii="Times New Roman" w:hAnsi="Times New Roman" w:eastAsia="Times New Roman" w:cs="Times New Roman"/>
          <w:noProof w:val="0"/>
          <w:sz w:val="22"/>
          <w:szCs w:val="22"/>
          <w:lang w:val="en-US"/>
        </w:rPr>
        <w:t>.</w:t>
      </w:r>
    </w:p>
    <w:p w:rsidR="0880C42D" w:rsidP="0880C42D" w:rsidRDefault="0880C42D" w14:paraId="285EEAAE" w14:textId="11062C16">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p>
    <w:p w:rsidR="0880C42D" w:rsidP="0880C42D" w:rsidRDefault="0880C42D" w14:paraId="3A91235C" w14:textId="0FF9A993">
      <w:pPr>
        <w:pStyle w:val="Normal"/>
        <w:spacing w:before="0" w:beforeAutospacing="off" w:after="0" w:afterAutospacing="off"/>
        <w:ind w:left="720" w:right="0" w:hanging="720"/>
        <w:jc w:val="left"/>
        <w:rPr>
          <w:rFonts w:ascii="Times New Roman" w:hAnsi="Times New Roman" w:eastAsia="Times New Roman" w:cs="Times New Roman"/>
          <w:b w:val="1"/>
          <w:bCs w:val="1"/>
          <w:noProof w:val="0"/>
          <w:sz w:val="22"/>
          <w:szCs w:val="22"/>
          <w:lang w:val="en-US"/>
        </w:rPr>
      </w:pPr>
    </w:p>
    <w:p w:rsidR="4EE6AB0B" w:rsidP="0880C42D" w:rsidRDefault="4EE6AB0B" w14:paraId="2EA06947" w14:textId="180BBF23">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r w:rsidRPr="0880C42D" w:rsidR="4EE6AB0B">
        <w:rPr>
          <w:rFonts w:ascii="Times New Roman" w:hAnsi="Times New Roman" w:eastAsia="Times New Roman" w:cs="Times New Roman"/>
          <w:b w:val="1"/>
          <w:bCs w:val="1"/>
          <w:noProof w:val="0"/>
          <w:sz w:val="22"/>
          <w:szCs w:val="22"/>
          <w:lang w:val="en-US"/>
        </w:rPr>
        <w:t>United Nations.</w:t>
      </w:r>
      <w:r w:rsidRPr="0880C42D" w:rsidR="4EE6AB0B">
        <w:rPr>
          <w:rFonts w:ascii="Times New Roman" w:hAnsi="Times New Roman" w:eastAsia="Times New Roman" w:cs="Times New Roman"/>
          <w:noProof w:val="0"/>
          <w:sz w:val="22"/>
          <w:szCs w:val="22"/>
          <w:lang w:val="en-US"/>
        </w:rPr>
        <w:t xml:space="preserve"> </w:t>
      </w:r>
      <w:r w:rsidRPr="0880C42D" w:rsidR="4EE6AB0B">
        <w:rPr>
          <w:rFonts w:ascii="Times New Roman" w:hAnsi="Times New Roman" w:eastAsia="Times New Roman" w:cs="Times New Roman"/>
          <w:i w:val="1"/>
          <w:iCs w:val="1"/>
          <w:noProof w:val="0"/>
          <w:sz w:val="22"/>
          <w:szCs w:val="22"/>
          <w:lang w:val="en-US"/>
        </w:rPr>
        <w:t>Guiding Principles on Business and Human Rights.</w:t>
      </w:r>
      <w:r w:rsidRPr="0880C42D" w:rsidR="4EE6AB0B">
        <w:rPr>
          <w:rFonts w:ascii="Times New Roman" w:hAnsi="Times New Roman" w:eastAsia="Times New Roman" w:cs="Times New Roman"/>
          <w:noProof w:val="0"/>
          <w:sz w:val="22"/>
          <w:szCs w:val="22"/>
          <w:lang w:val="en-US"/>
        </w:rPr>
        <w:t>, 2011,</w:t>
      </w:r>
      <w:r>
        <w:br/>
      </w:r>
      <w:r w:rsidRPr="0880C42D" w:rsidR="4EE6AB0B">
        <w:rPr>
          <w:rFonts w:ascii="Times New Roman" w:hAnsi="Times New Roman" w:eastAsia="Times New Roman" w:cs="Times New Roman"/>
          <w:noProof w:val="0"/>
          <w:sz w:val="22"/>
          <w:szCs w:val="22"/>
          <w:lang w:val="en-US"/>
        </w:rPr>
        <w:t xml:space="preserve"> </w:t>
      </w:r>
      <w:hyperlink r:id="R261e1db697b14974">
        <w:r w:rsidRPr="0880C42D" w:rsidR="4EE6AB0B">
          <w:rPr>
            <w:rStyle w:val="Hyperlink"/>
            <w:rFonts w:ascii="Times New Roman" w:hAnsi="Times New Roman" w:eastAsia="Times New Roman" w:cs="Times New Roman"/>
            <w:noProof w:val="0"/>
            <w:sz w:val="22"/>
            <w:szCs w:val="22"/>
            <w:lang w:val="en-US"/>
          </w:rPr>
          <w:t>https://www.ohchr.org/en/publications</w:t>
        </w:r>
      </w:hyperlink>
      <w:r w:rsidRPr="0880C42D" w:rsidR="4EE6AB0B">
        <w:rPr>
          <w:rFonts w:ascii="Times New Roman" w:hAnsi="Times New Roman" w:eastAsia="Times New Roman" w:cs="Times New Roman"/>
          <w:noProof w:val="0"/>
          <w:sz w:val="22"/>
          <w:szCs w:val="22"/>
          <w:lang w:val="en-US"/>
        </w:rPr>
        <w:t>.</w:t>
      </w:r>
    </w:p>
    <w:p w:rsidR="0880C42D" w:rsidP="0880C42D" w:rsidRDefault="0880C42D" w14:paraId="552B469B" w14:textId="11B4DF69">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p>
    <w:p w:rsidR="0880C42D" w:rsidP="0880C42D" w:rsidRDefault="0880C42D" w14:paraId="607853A8" w14:textId="36F486C1">
      <w:pPr>
        <w:pStyle w:val="Normal"/>
        <w:spacing w:before="0" w:beforeAutospacing="off" w:after="0" w:afterAutospacing="off"/>
        <w:ind w:left="720" w:right="0" w:hanging="720"/>
        <w:jc w:val="left"/>
        <w:rPr>
          <w:rFonts w:ascii="Times New Roman" w:hAnsi="Times New Roman" w:eastAsia="Times New Roman" w:cs="Times New Roman"/>
          <w:b w:val="1"/>
          <w:bCs w:val="1"/>
          <w:noProof w:val="0"/>
          <w:sz w:val="22"/>
          <w:szCs w:val="22"/>
          <w:lang w:val="en-US"/>
        </w:rPr>
      </w:pPr>
    </w:p>
    <w:p w:rsidR="4EE6AB0B" w:rsidP="0880C42D" w:rsidRDefault="4EE6AB0B" w14:paraId="1A471355" w14:textId="74CB13EB">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r w:rsidRPr="0880C42D" w:rsidR="4EE6AB0B">
        <w:rPr>
          <w:rFonts w:ascii="Times New Roman" w:hAnsi="Times New Roman" w:eastAsia="Times New Roman" w:cs="Times New Roman"/>
          <w:b w:val="1"/>
          <w:bCs w:val="1"/>
          <w:noProof w:val="0"/>
          <w:sz w:val="22"/>
          <w:szCs w:val="22"/>
          <w:lang w:val="en-US"/>
        </w:rPr>
        <w:t>United States Department of Energy.</w:t>
      </w:r>
      <w:r w:rsidRPr="0880C42D" w:rsidR="4EE6AB0B">
        <w:rPr>
          <w:rFonts w:ascii="Times New Roman" w:hAnsi="Times New Roman" w:eastAsia="Times New Roman" w:cs="Times New Roman"/>
          <w:noProof w:val="0"/>
          <w:sz w:val="22"/>
          <w:szCs w:val="22"/>
          <w:lang w:val="en-US"/>
        </w:rPr>
        <w:t xml:space="preserve"> </w:t>
      </w:r>
      <w:r w:rsidRPr="0880C42D" w:rsidR="4EE6AB0B">
        <w:rPr>
          <w:rFonts w:ascii="Times New Roman" w:hAnsi="Times New Roman" w:eastAsia="Times New Roman" w:cs="Times New Roman"/>
          <w:i w:val="1"/>
          <w:iCs w:val="1"/>
          <w:noProof w:val="0"/>
          <w:sz w:val="22"/>
          <w:szCs w:val="22"/>
          <w:lang w:val="en-US"/>
        </w:rPr>
        <w:t>Inflation Reduction Act and Clean Energy Supply Chains.</w:t>
      </w:r>
      <w:r w:rsidRPr="0880C42D" w:rsidR="4EE6AB0B">
        <w:rPr>
          <w:rFonts w:ascii="Times New Roman" w:hAnsi="Times New Roman" w:eastAsia="Times New Roman" w:cs="Times New Roman"/>
          <w:noProof w:val="0"/>
          <w:sz w:val="22"/>
          <w:szCs w:val="22"/>
          <w:lang w:val="en-US"/>
        </w:rPr>
        <w:t>, 2022,</w:t>
      </w:r>
      <w:r>
        <w:br/>
      </w:r>
      <w:r w:rsidRPr="0880C42D" w:rsidR="4EE6AB0B">
        <w:rPr>
          <w:rFonts w:ascii="Times New Roman" w:hAnsi="Times New Roman" w:eastAsia="Times New Roman" w:cs="Times New Roman"/>
          <w:noProof w:val="0"/>
          <w:sz w:val="22"/>
          <w:szCs w:val="22"/>
          <w:lang w:val="en-US"/>
        </w:rPr>
        <w:t xml:space="preserve"> </w:t>
      </w:r>
      <w:hyperlink r:id="R2de433c78bfb41df">
        <w:r w:rsidRPr="0880C42D" w:rsidR="4EE6AB0B">
          <w:rPr>
            <w:rStyle w:val="Hyperlink"/>
            <w:rFonts w:ascii="Times New Roman" w:hAnsi="Times New Roman" w:eastAsia="Times New Roman" w:cs="Times New Roman"/>
            <w:noProof w:val="0"/>
            <w:sz w:val="22"/>
            <w:szCs w:val="22"/>
            <w:lang w:val="en-US"/>
          </w:rPr>
          <w:t>https://www.energy.gov/ira</w:t>
        </w:r>
      </w:hyperlink>
      <w:r w:rsidRPr="0880C42D" w:rsidR="4EE6AB0B">
        <w:rPr>
          <w:rFonts w:ascii="Times New Roman" w:hAnsi="Times New Roman" w:eastAsia="Times New Roman" w:cs="Times New Roman"/>
          <w:noProof w:val="0"/>
          <w:sz w:val="22"/>
          <w:szCs w:val="22"/>
          <w:lang w:val="en-US"/>
        </w:rPr>
        <w:t>.</w:t>
      </w:r>
    </w:p>
    <w:p w:rsidR="0880C42D" w:rsidP="0880C42D" w:rsidRDefault="0880C42D" w14:paraId="7957B6A8" w14:textId="453BD78F">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p>
    <w:p w:rsidR="0880C42D" w:rsidP="0880C42D" w:rsidRDefault="0880C42D" w14:paraId="1B88F79D" w14:textId="696220C9">
      <w:pPr>
        <w:pStyle w:val="Normal"/>
        <w:spacing w:before="0" w:beforeAutospacing="off" w:after="0" w:afterAutospacing="off"/>
        <w:ind w:left="720" w:right="0" w:hanging="720"/>
        <w:jc w:val="left"/>
        <w:rPr>
          <w:rFonts w:ascii="Times New Roman" w:hAnsi="Times New Roman" w:eastAsia="Times New Roman" w:cs="Times New Roman"/>
          <w:b w:val="1"/>
          <w:bCs w:val="1"/>
          <w:noProof w:val="0"/>
          <w:sz w:val="22"/>
          <w:szCs w:val="22"/>
          <w:lang w:val="en-US"/>
        </w:rPr>
      </w:pPr>
    </w:p>
    <w:p w:rsidR="4EE6AB0B" w:rsidP="0880C42D" w:rsidRDefault="4EE6AB0B" w14:paraId="14933A54" w14:textId="3706F1C5">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r w:rsidRPr="0880C42D" w:rsidR="4EE6AB0B">
        <w:rPr>
          <w:rFonts w:ascii="Times New Roman" w:hAnsi="Times New Roman" w:eastAsia="Times New Roman" w:cs="Times New Roman"/>
          <w:b w:val="1"/>
          <w:bCs w:val="1"/>
          <w:noProof w:val="0"/>
          <w:sz w:val="22"/>
          <w:szCs w:val="22"/>
          <w:lang w:val="en-US"/>
        </w:rPr>
        <w:t>World Bank.</w:t>
      </w:r>
      <w:r w:rsidRPr="0880C42D" w:rsidR="4EE6AB0B">
        <w:rPr>
          <w:rFonts w:ascii="Times New Roman" w:hAnsi="Times New Roman" w:eastAsia="Times New Roman" w:cs="Times New Roman"/>
          <w:noProof w:val="0"/>
          <w:sz w:val="22"/>
          <w:szCs w:val="22"/>
          <w:lang w:val="en-US"/>
        </w:rPr>
        <w:t xml:space="preserve"> </w:t>
      </w:r>
      <w:r w:rsidRPr="0880C42D" w:rsidR="4EE6AB0B">
        <w:rPr>
          <w:rFonts w:ascii="Times New Roman" w:hAnsi="Times New Roman" w:eastAsia="Times New Roman" w:cs="Times New Roman"/>
          <w:i w:val="1"/>
          <w:iCs w:val="1"/>
          <w:noProof w:val="0"/>
          <w:sz w:val="22"/>
          <w:szCs w:val="22"/>
          <w:lang w:val="en-US"/>
        </w:rPr>
        <w:t>Climate-Smart Mining Facility.</w:t>
      </w:r>
      <w:r w:rsidRPr="0880C42D" w:rsidR="4EE6AB0B">
        <w:rPr>
          <w:rFonts w:ascii="Times New Roman" w:hAnsi="Times New Roman" w:eastAsia="Times New Roman" w:cs="Times New Roman"/>
          <w:noProof w:val="0"/>
          <w:sz w:val="22"/>
          <w:szCs w:val="22"/>
          <w:lang w:val="en-US"/>
        </w:rPr>
        <w:t>, 2023,</w:t>
      </w:r>
      <w:r>
        <w:br/>
      </w:r>
      <w:r w:rsidRPr="0880C42D" w:rsidR="4EE6AB0B">
        <w:rPr>
          <w:rFonts w:ascii="Times New Roman" w:hAnsi="Times New Roman" w:eastAsia="Times New Roman" w:cs="Times New Roman"/>
          <w:noProof w:val="0"/>
          <w:sz w:val="22"/>
          <w:szCs w:val="22"/>
          <w:lang w:val="en-US"/>
        </w:rPr>
        <w:t xml:space="preserve"> </w:t>
      </w:r>
      <w:hyperlink r:id="Rcda88bcaaf4140d9">
        <w:r w:rsidRPr="0880C42D" w:rsidR="4EE6AB0B">
          <w:rPr>
            <w:rStyle w:val="Hyperlink"/>
            <w:rFonts w:ascii="Times New Roman" w:hAnsi="Times New Roman" w:eastAsia="Times New Roman" w:cs="Times New Roman"/>
            <w:noProof w:val="0"/>
            <w:sz w:val="22"/>
            <w:szCs w:val="22"/>
            <w:lang w:val="en-US"/>
          </w:rPr>
          <w:t>https://www.worldbank.org/en/topic/extractiveindustries</w:t>
        </w:r>
      </w:hyperlink>
      <w:r w:rsidRPr="0880C42D" w:rsidR="4EE6AB0B">
        <w:rPr>
          <w:rFonts w:ascii="Times New Roman" w:hAnsi="Times New Roman" w:eastAsia="Times New Roman" w:cs="Times New Roman"/>
          <w:noProof w:val="0"/>
          <w:sz w:val="22"/>
          <w:szCs w:val="22"/>
          <w:lang w:val="en-US"/>
        </w:rPr>
        <w:t>.</w:t>
      </w:r>
    </w:p>
    <w:p w:rsidR="0880C42D" w:rsidP="0880C42D" w:rsidRDefault="0880C42D" w14:paraId="63858729" w14:textId="7675DA0D">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p>
    <w:p w:rsidR="0880C42D" w:rsidP="0880C42D" w:rsidRDefault="0880C42D" w14:paraId="34779F1C" w14:textId="400730C6">
      <w:pPr>
        <w:pStyle w:val="Normal"/>
        <w:spacing w:before="0" w:beforeAutospacing="off" w:after="0" w:afterAutospacing="off"/>
        <w:ind w:left="720" w:right="0" w:hanging="72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5D25DB6F" w:rsidP="0880C42D" w:rsidRDefault="5D25DB6F" w14:paraId="01272BEC" w14:textId="30F2D16C">
      <w:pPr>
        <w:pStyle w:val="Normal"/>
        <w:spacing w:before="0" w:beforeAutospacing="off" w:after="0" w:afterAutospacing="off"/>
        <w:ind w:left="720" w:right="0" w:hanging="72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5D25DB6F">
        <w:rPr>
          <w:rFonts w:ascii="Times New Roman" w:hAnsi="Times New Roman" w:eastAsia="Times New Roman" w:cs="Times New Roman"/>
          <w:b w:val="1"/>
          <w:bCs w:val="1"/>
          <w:noProof w:val="0"/>
          <w:sz w:val="22"/>
          <w:szCs w:val="22"/>
          <w:lang w:val="en-US"/>
        </w:rPr>
        <w:t>Vuocolo,</w:t>
      </w:r>
      <w:r w:rsidRPr="0880C42D" w:rsidR="5D25DB6F">
        <w:rPr>
          <w:rFonts w:ascii="Times New Roman" w:hAnsi="Times New Roman" w:eastAsia="Times New Roman" w:cs="Times New Roman"/>
          <w:b w:val="1"/>
          <w:bCs w:val="1"/>
          <w:noProof w:val="0"/>
          <w:sz w:val="22"/>
          <w:szCs w:val="22"/>
          <w:lang w:val="en-US"/>
        </w:rPr>
        <w:t xml:space="preserve"> Alex.</w:t>
      </w:r>
      <w:r w:rsidRPr="0880C42D" w:rsidR="5D25DB6F">
        <w:rPr>
          <w:rFonts w:ascii="Times New Roman" w:hAnsi="Times New Roman" w:eastAsia="Times New Roman" w:cs="Times New Roman"/>
          <w:noProof w:val="0"/>
          <w:sz w:val="22"/>
          <w:szCs w:val="22"/>
          <w:lang w:val="en-US"/>
        </w:rPr>
        <w:t xml:space="preserve"> “EVs Gobble up Rare Earth Minerals as Miners Struggle to Keep Up.” </w:t>
      </w:r>
      <w:r w:rsidRPr="0880C42D" w:rsidR="5D25DB6F">
        <w:rPr>
          <w:rFonts w:ascii="Times New Roman" w:hAnsi="Times New Roman" w:eastAsia="Times New Roman" w:cs="Times New Roman"/>
          <w:i w:val="1"/>
          <w:iCs w:val="1"/>
          <w:noProof w:val="0"/>
          <w:sz w:val="22"/>
          <w:szCs w:val="22"/>
          <w:lang w:val="en-US"/>
        </w:rPr>
        <w:t>Nasdaq</w:t>
      </w:r>
      <w:r w:rsidRPr="0880C42D" w:rsidR="5D25DB6F">
        <w:rPr>
          <w:rFonts w:ascii="Times New Roman" w:hAnsi="Times New Roman" w:eastAsia="Times New Roman" w:cs="Times New Roman"/>
          <w:noProof w:val="0"/>
          <w:sz w:val="22"/>
          <w:szCs w:val="22"/>
          <w:lang w:val="en-US"/>
        </w:rPr>
        <w:t>, 25 Jan. 2022,</w:t>
      </w:r>
      <w:r>
        <w:br/>
      </w:r>
      <w:r w:rsidRPr="0880C42D" w:rsidR="5D25DB6F">
        <w:rPr>
          <w:rFonts w:ascii="Times New Roman" w:hAnsi="Times New Roman" w:eastAsia="Times New Roman" w:cs="Times New Roman"/>
          <w:noProof w:val="0"/>
          <w:sz w:val="22"/>
          <w:szCs w:val="22"/>
          <w:lang w:val="en-US"/>
        </w:rPr>
        <w:t xml:space="preserve"> </w:t>
      </w:r>
      <w:hyperlink r:id="R205235435e4a4daa">
        <w:r w:rsidRPr="0880C42D" w:rsidR="5D25DB6F">
          <w:rPr>
            <w:rStyle w:val="Hyperlink"/>
            <w:rFonts w:ascii="Times New Roman" w:hAnsi="Times New Roman" w:eastAsia="Times New Roman" w:cs="Times New Roman"/>
            <w:b w:val="0"/>
            <w:bCs w:val="0"/>
            <w:i w:val="0"/>
            <w:iCs w:val="0"/>
            <w:caps w:val="0"/>
            <w:smallCaps w:val="0"/>
            <w:strike w:val="0"/>
            <w:dstrike w:val="0"/>
            <w:noProof w:val="0"/>
            <w:sz w:val="22"/>
            <w:szCs w:val="22"/>
            <w:lang w:val="en-US"/>
          </w:rPr>
          <w:t>www.cheddar.com/media/evs-gobble-up-rare-earth-minerals-as-miners-struggle-to-keep-up/</w:t>
        </w:r>
      </w:hyperlink>
      <w:r w:rsidRPr="0880C42D" w:rsidR="5D25DB6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w:rsidR="0880C42D" w:rsidP="0880C42D" w:rsidRDefault="0880C42D" w14:paraId="454FD4BF" w14:textId="28D641AD">
      <w:pPr>
        <w:pStyle w:val="Normal"/>
        <w:spacing w:before="0" w:beforeAutospacing="off" w:after="0" w:afterAutospacing="off"/>
        <w:ind w:left="720" w:right="0" w:hanging="72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880C42D" w:rsidP="0880C42D" w:rsidRDefault="0880C42D" w14:paraId="5DF097F3" w14:textId="31A76943">
      <w:pPr>
        <w:spacing w:before="0" w:beforeAutospacing="off" w:after="0" w:afterAutospacing="off"/>
        <w:ind w:left="720" w:right="0" w:hanging="72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5D25DB6F" w:rsidP="0880C42D" w:rsidRDefault="5D25DB6F" w14:paraId="72622CBD" w14:textId="2523C79C">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r w:rsidRPr="0880C42D" w:rsidR="5D25DB6F">
        <w:rPr>
          <w:rFonts w:ascii="Times New Roman" w:hAnsi="Times New Roman" w:eastAsia="Times New Roman" w:cs="Times New Roman"/>
          <w:b w:val="1"/>
          <w:bCs w:val="1"/>
          <w:noProof w:val="0"/>
          <w:sz w:val="22"/>
          <w:szCs w:val="22"/>
          <w:lang w:val="en-US"/>
        </w:rPr>
        <w:t>“Water-Energy Nexus.”</w:t>
      </w:r>
      <w:r w:rsidRPr="0880C42D" w:rsidR="5D25DB6F">
        <w:rPr>
          <w:rFonts w:ascii="Times New Roman" w:hAnsi="Times New Roman" w:eastAsia="Times New Roman" w:cs="Times New Roman"/>
          <w:noProof w:val="0"/>
          <w:sz w:val="22"/>
          <w:szCs w:val="22"/>
          <w:lang w:val="en-US"/>
        </w:rPr>
        <w:t xml:space="preserve"> </w:t>
      </w:r>
      <w:r w:rsidRPr="0880C42D" w:rsidR="5D25DB6F">
        <w:rPr>
          <w:rFonts w:ascii="Times New Roman" w:hAnsi="Times New Roman" w:eastAsia="Times New Roman" w:cs="Times New Roman"/>
          <w:i w:val="1"/>
          <w:iCs w:val="1"/>
          <w:noProof w:val="0"/>
          <w:sz w:val="22"/>
          <w:szCs w:val="22"/>
          <w:lang w:val="en-US"/>
        </w:rPr>
        <w:t>Center for Water-Energy Efficiency</w:t>
      </w:r>
      <w:r w:rsidRPr="0880C42D" w:rsidR="5D25DB6F">
        <w:rPr>
          <w:rFonts w:ascii="Times New Roman" w:hAnsi="Times New Roman" w:eastAsia="Times New Roman" w:cs="Times New Roman"/>
          <w:noProof w:val="0"/>
          <w:sz w:val="22"/>
          <w:szCs w:val="22"/>
          <w:lang w:val="en-US"/>
        </w:rPr>
        <w:t>, University of California, Davis,</w:t>
      </w:r>
      <w:r>
        <w:br/>
      </w:r>
      <w:r w:rsidRPr="0880C42D" w:rsidR="5D25DB6F">
        <w:rPr>
          <w:rFonts w:ascii="Times New Roman" w:hAnsi="Times New Roman" w:eastAsia="Times New Roman" w:cs="Times New Roman"/>
          <w:noProof w:val="0"/>
          <w:sz w:val="22"/>
          <w:szCs w:val="22"/>
          <w:lang w:val="en-US"/>
        </w:rPr>
        <w:t xml:space="preserve"> </w:t>
      </w:r>
      <w:hyperlink r:id="R3b225ed342654ede">
        <w:r w:rsidRPr="0880C42D" w:rsidR="5D25DB6F">
          <w:rPr>
            <w:rStyle w:val="Hyperlink"/>
            <w:rFonts w:ascii="Times New Roman" w:hAnsi="Times New Roman" w:eastAsia="Times New Roman" w:cs="Times New Roman"/>
            <w:noProof w:val="0"/>
            <w:sz w:val="22"/>
            <w:szCs w:val="22"/>
            <w:lang w:val="en-US"/>
          </w:rPr>
          <w:t>https://cwee.ucdavis.edu/about/water-energy-nexus/</w:t>
        </w:r>
      </w:hyperlink>
      <w:r w:rsidRPr="0880C42D" w:rsidR="5D25DB6F">
        <w:rPr>
          <w:rFonts w:ascii="Times New Roman" w:hAnsi="Times New Roman" w:eastAsia="Times New Roman" w:cs="Times New Roman"/>
          <w:noProof w:val="0"/>
          <w:sz w:val="22"/>
          <w:szCs w:val="22"/>
          <w:lang w:val="en-US"/>
        </w:rPr>
        <w:t>.</w:t>
      </w:r>
    </w:p>
    <w:p w:rsidR="0880C42D" w:rsidP="0880C42D" w:rsidRDefault="0880C42D" w14:paraId="7BCC521E" w14:textId="6334FDB0">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p>
    <w:p w:rsidR="0880C42D" w:rsidP="0880C42D" w:rsidRDefault="0880C42D" w14:paraId="3233F987" w14:textId="22A3F229">
      <w:pPr>
        <w:pStyle w:val="Normal"/>
        <w:spacing w:before="0" w:beforeAutospacing="off" w:after="0" w:afterAutospacing="off"/>
        <w:ind w:left="720" w:right="0" w:hanging="720"/>
        <w:jc w:val="left"/>
        <w:rPr>
          <w:rFonts w:ascii="Times New Roman" w:hAnsi="Times New Roman" w:eastAsia="Times New Roman" w:cs="Times New Roman"/>
          <w:b w:val="1"/>
          <w:bCs w:val="1"/>
          <w:noProof w:val="0"/>
          <w:sz w:val="22"/>
          <w:szCs w:val="22"/>
          <w:lang w:val="en-US"/>
        </w:rPr>
      </w:pPr>
    </w:p>
    <w:p w:rsidR="003FAEDC" w:rsidP="0880C42D" w:rsidRDefault="003FAEDC" w14:paraId="0F4D940F" w14:textId="7BA11C66">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r w:rsidRPr="0880C42D" w:rsidR="003FAEDC">
        <w:rPr>
          <w:rFonts w:ascii="Times New Roman" w:hAnsi="Times New Roman" w:eastAsia="Times New Roman" w:cs="Times New Roman"/>
          <w:b w:val="1"/>
          <w:bCs w:val="1"/>
          <w:noProof w:val="0"/>
          <w:sz w:val="22"/>
          <w:szCs w:val="22"/>
          <w:lang w:val="en-US"/>
        </w:rPr>
        <w:t>“Critical Energy Transition Minerals.”</w:t>
      </w:r>
      <w:r w:rsidRPr="0880C42D" w:rsidR="003FAEDC">
        <w:rPr>
          <w:rFonts w:ascii="Times New Roman" w:hAnsi="Times New Roman" w:eastAsia="Times New Roman" w:cs="Times New Roman"/>
          <w:noProof w:val="0"/>
          <w:sz w:val="22"/>
          <w:szCs w:val="22"/>
          <w:lang w:val="en-US"/>
        </w:rPr>
        <w:t xml:space="preserve"> </w:t>
      </w:r>
      <w:r w:rsidRPr="0880C42D" w:rsidR="003FAEDC">
        <w:rPr>
          <w:rFonts w:ascii="Times New Roman" w:hAnsi="Times New Roman" w:eastAsia="Times New Roman" w:cs="Times New Roman"/>
          <w:i w:val="1"/>
          <w:iCs w:val="1"/>
          <w:noProof w:val="0"/>
          <w:sz w:val="22"/>
          <w:szCs w:val="22"/>
          <w:lang w:val="en-US"/>
        </w:rPr>
        <w:t xml:space="preserve">United Nations Environment </w:t>
      </w:r>
      <w:r w:rsidRPr="0880C42D" w:rsidR="003FAEDC">
        <w:rPr>
          <w:rFonts w:ascii="Times New Roman" w:hAnsi="Times New Roman" w:eastAsia="Times New Roman" w:cs="Times New Roman"/>
          <w:i w:val="1"/>
          <w:iCs w:val="1"/>
          <w:noProof w:val="0"/>
          <w:sz w:val="22"/>
          <w:szCs w:val="22"/>
          <w:lang w:val="en-US"/>
        </w:rPr>
        <w:t>Programme</w:t>
      </w:r>
      <w:r w:rsidRPr="0880C42D" w:rsidR="003FAEDC">
        <w:rPr>
          <w:rFonts w:ascii="Times New Roman" w:hAnsi="Times New Roman" w:eastAsia="Times New Roman" w:cs="Times New Roman"/>
          <w:i w:val="1"/>
          <w:iCs w:val="1"/>
          <w:noProof w:val="0"/>
          <w:sz w:val="22"/>
          <w:szCs w:val="22"/>
          <w:lang w:val="en-US"/>
        </w:rPr>
        <w:t xml:space="preserve"> (UNEP)</w:t>
      </w:r>
      <w:r w:rsidRPr="0880C42D" w:rsidR="003FAEDC">
        <w:rPr>
          <w:rFonts w:ascii="Times New Roman" w:hAnsi="Times New Roman" w:eastAsia="Times New Roman" w:cs="Times New Roman"/>
          <w:noProof w:val="0"/>
          <w:sz w:val="22"/>
          <w:szCs w:val="22"/>
          <w:lang w:val="en-US"/>
        </w:rPr>
        <w:t>,</w:t>
      </w:r>
      <w:r>
        <w:br/>
      </w:r>
      <w:r w:rsidRPr="0880C42D" w:rsidR="003FAEDC">
        <w:rPr>
          <w:rFonts w:ascii="Times New Roman" w:hAnsi="Times New Roman" w:eastAsia="Times New Roman" w:cs="Times New Roman"/>
          <w:noProof w:val="0"/>
          <w:sz w:val="22"/>
          <w:szCs w:val="22"/>
          <w:lang w:val="en-US"/>
        </w:rPr>
        <w:t xml:space="preserve"> </w:t>
      </w:r>
      <w:hyperlink r:id="R9b722e3ff1c84a3a">
        <w:r w:rsidRPr="0880C42D" w:rsidR="003FAEDC">
          <w:rPr>
            <w:rStyle w:val="Hyperlink"/>
            <w:rFonts w:ascii="Times New Roman" w:hAnsi="Times New Roman" w:eastAsia="Times New Roman" w:cs="Times New Roman"/>
            <w:noProof w:val="0"/>
            <w:sz w:val="22"/>
            <w:szCs w:val="22"/>
            <w:lang w:val="en-US"/>
          </w:rPr>
          <w:t>https://www.unep.org/topics/energy/renewable-energy/critical-energy-transition-minerals</w:t>
        </w:r>
      </w:hyperlink>
      <w:r w:rsidRPr="0880C42D" w:rsidR="003FAEDC">
        <w:rPr>
          <w:rFonts w:ascii="Times New Roman" w:hAnsi="Times New Roman" w:eastAsia="Times New Roman" w:cs="Times New Roman"/>
          <w:noProof w:val="0"/>
          <w:sz w:val="22"/>
          <w:szCs w:val="22"/>
          <w:lang w:val="en-US"/>
        </w:rPr>
        <w:t>.</w:t>
      </w:r>
    </w:p>
    <w:p w:rsidR="0880C42D" w:rsidP="0880C42D" w:rsidRDefault="0880C42D" w14:paraId="070A5952" w14:textId="7CF37AA6">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p>
    <w:p w:rsidR="0880C42D" w:rsidP="0880C42D" w:rsidRDefault="0880C42D" w14:paraId="70AFC346" w14:textId="4A3932B8">
      <w:pPr>
        <w:pStyle w:val="Normal"/>
        <w:spacing w:before="0" w:beforeAutospacing="off" w:after="0" w:afterAutospacing="off"/>
        <w:ind w:left="720" w:right="0" w:hanging="720"/>
        <w:jc w:val="left"/>
        <w:rPr>
          <w:rFonts w:ascii="Times New Roman" w:hAnsi="Times New Roman" w:eastAsia="Times New Roman" w:cs="Times New Roman"/>
          <w:b w:val="1"/>
          <w:bCs w:val="1"/>
          <w:noProof w:val="0"/>
          <w:sz w:val="22"/>
          <w:szCs w:val="22"/>
          <w:lang w:val="en-US"/>
        </w:rPr>
      </w:pPr>
    </w:p>
    <w:p w:rsidR="003FAEDC" w:rsidP="0880C42D" w:rsidRDefault="003FAEDC" w14:paraId="1C3B44B0" w14:textId="26F5B40D">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r w:rsidRPr="0880C42D" w:rsidR="003FAEDC">
        <w:rPr>
          <w:rFonts w:ascii="Times New Roman" w:hAnsi="Times New Roman" w:eastAsia="Times New Roman" w:cs="Times New Roman"/>
          <w:b w:val="1"/>
          <w:bCs w:val="1"/>
          <w:noProof w:val="0"/>
          <w:sz w:val="22"/>
          <w:szCs w:val="22"/>
          <w:lang w:val="en-US"/>
        </w:rPr>
        <w:t>“Critical Minerals | EUMENA.”</w:t>
      </w:r>
      <w:r w:rsidRPr="0880C42D" w:rsidR="003FAEDC">
        <w:rPr>
          <w:rFonts w:ascii="Times New Roman" w:hAnsi="Times New Roman" w:eastAsia="Times New Roman" w:cs="Times New Roman"/>
          <w:noProof w:val="0"/>
          <w:sz w:val="22"/>
          <w:szCs w:val="22"/>
          <w:lang w:val="en-US"/>
        </w:rPr>
        <w:t xml:space="preserve"> </w:t>
      </w:r>
      <w:r w:rsidRPr="0880C42D" w:rsidR="003FAEDC">
        <w:rPr>
          <w:rFonts w:ascii="Times New Roman" w:hAnsi="Times New Roman" w:eastAsia="Times New Roman" w:cs="Times New Roman"/>
          <w:i w:val="1"/>
          <w:iCs w:val="1"/>
          <w:noProof w:val="0"/>
          <w:sz w:val="22"/>
          <w:szCs w:val="22"/>
          <w:lang w:val="en-US"/>
        </w:rPr>
        <w:t>European &amp; Middle Eastern Energy Network Alliance (EUMENA)</w:t>
      </w:r>
      <w:r w:rsidRPr="0880C42D" w:rsidR="003FAEDC">
        <w:rPr>
          <w:rFonts w:ascii="Times New Roman" w:hAnsi="Times New Roman" w:eastAsia="Times New Roman" w:cs="Times New Roman"/>
          <w:noProof w:val="0"/>
          <w:sz w:val="22"/>
          <w:szCs w:val="22"/>
          <w:lang w:val="en-US"/>
        </w:rPr>
        <w:t>,</w:t>
      </w:r>
      <w:r>
        <w:br/>
      </w:r>
      <w:r w:rsidRPr="0880C42D" w:rsidR="003FAEDC">
        <w:rPr>
          <w:rFonts w:ascii="Times New Roman" w:hAnsi="Times New Roman" w:eastAsia="Times New Roman" w:cs="Times New Roman"/>
          <w:noProof w:val="0"/>
          <w:sz w:val="22"/>
          <w:szCs w:val="22"/>
          <w:lang w:val="en-US"/>
        </w:rPr>
        <w:t xml:space="preserve"> </w:t>
      </w:r>
      <w:hyperlink r:id="Rb6d40841517c476a">
        <w:r w:rsidRPr="0880C42D" w:rsidR="003FAEDC">
          <w:rPr>
            <w:rStyle w:val="Hyperlink"/>
            <w:rFonts w:ascii="Times New Roman" w:hAnsi="Times New Roman" w:eastAsia="Times New Roman" w:cs="Times New Roman"/>
            <w:noProof w:val="0"/>
            <w:sz w:val="22"/>
            <w:szCs w:val="22"/>
            <w:lang w:val="en-US"/>
          </w:rPr>
          <w:t>https://eumena.org/critical-minerals</w:t>
        </w:r>
      </w:hyperlink>
      <w:r w:rsidRPr="0880C42D" w:rsidR="003FAEDC">
        <w:rPr>
          <w:rFonts w:ascii="Times New Roman" w:hAnsi="Times New Roman" w:eastAsia="Times New Roman" w:cs="Times New Roman"/>
          <w:noProof w:val="0"/>
          <w:sz w:val="22"/>
          <w:szCs w:val="22"/>
          <w:lang w:val="en-US"/>
        </w:rPr>
        <w:t>.</w:t>
      </w:r>
    </w:p>
    <w:p w:rsidR="0880C42D" w:rsidP="0880C42D" w:rsidRDefault="0880C42D" w14:paraId="790C8935" w14:textId="0F96EBA9">
      <w:pPr>
        <w:pStyle w:val="Normal"/>
        <w:spacing w:before="0" w:beforeAutospacing="off" w:after="0" w:afterAutospacing="off"/>
        <w:ind w:left="720" w:right="0" w:hanging="720"/>
        <w:jc w:val="left"/>
        <w:rPr>
          <w:rFonts w:ascii="Times New Roman" w:hAnsi="Times New Roman" w:eastAsia="Times New Roman" w:cs="Times New Roman"/>
          <w:noProof w:val="0"/>
          <w:sz w:val="22"/>
          <w:szCs w:val="22"/>
          <w:lang w:val="en-US"/>
        </w:rPr>
      </w:pPr>
    </w:p>
    <w:p w:rsidR="31096ED5" w:rsidP="0880C42D" w:rsidRDefault="31096ED5" w14:paraId="3688DCF9" w14:textId="1E4A3C02">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31096E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w:rsidR="0880C42D" w:rsidP="0880C42D" w:rsidRDefault="0880C42D" w14:paraId="20B7FA30" w14:textId="59743AC1">
      <w:pPr>
        <w:spacing w:before="0" w:beforeAutospacing="off" w:after="0" w:afterAutospacing="off"/>
        <w:ind w:left="720" w:right="0" w:hanging="72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31096ED5" w:rsidP="0880C42D" w:rsidRDefault="31096ED5" w14:paraId="17BCDADD" w14:textId="47D28D89">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880C42D" w:rsidR="31096E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w:rsidR="0880C42D" w:rsidP="0880C42D" w:rsidRDefault="0880C42D" w14:paraId="7AB49ADE" w14:textId="78A0040D">
      <w:pPr>
        <w:spacing w:before="0" w:beforeAutospacing="off" w:after="0" w:afterAutospacing="off"/>
        <w:ind w:left="720" w:right="0" w:hanging="720"/>
        <w:jc w:val="left"/>
        <w:rPr>
          <w:rFonts w:ascii="Calibri" w:hAnsi="Calibri" w:eastAsia="Calibri" w:cs="Calibri"/>
          <w:b w:val="0"/>
          <w:bCs w:val="0"/>
          <w:i w:val="0"/>
          <w:iCs w:val="0"/>
          <w:caps w:val="0"/>
          <w:smallCaps w:val="0"/>
          <w:noProof w:val="0"/>
          <w:color w:val="000000" w:themeColor="text1" w:themeTint="FF" w:themeShade="FF"/>
          <w:sz w:val="27"/>
          <w:szCs w:val="27"/>
          <w:lang w:val="en-US"/>
        </w:rPr>
      </w:pPr>
    </w:p>
    <w:p w:rsidR="31096ED5" w:rsidP="0880C42D" w:rsidRDefault="31096ED5" w14:paraId="5EC2B3D4" w14:textId="0921A7FA">
      <w:pPr>
        <w:spacing w:before="240" w:beforeAutospacing="off" w:after="240" w:afterAutospacing="off"/>
        <w:jc w:val="left"/>
        <w:rPr>
          <w:rFonts w:ascii="Calibri" w:hAnsi="Calibri" w:eastAsia="Calibri" w:cs="Calibri"/>
          <w:b w:val="0"/>
          <w:bCs w:val="0"/>
          <w:i w:val="0"/>
          <w:iCs w:val="0"/>
          <w:caps w:val="0"/>
          <w:smallCaps w:val="0"/>
          <w:noProof w:val="0"/>
          <w:color w:val="000000" w:themeColor="text1" w:themeTint="FF" w:themeShade="FF"/>
          <w:sz w:val="27"/>
          <w:szCs w:val="27"/>
          <w:lang w:val="en-US"/>
        </w:rPr>
      </w:pPr>
      <w:r w:rsidRPr="0880C42D" w:rsidR="31096ED5">
        <w:rPr>
          <w:rFonts w:ascii="Calibri" w:hAnsi="Calibri" w:eastAsia="Calibri" w:cs="Calibri"/>
          <w:b w:val="0"/>
          <w:bCs w:val="0"/>
          <w:i w:val="0"/>
          <w:iCs w:val="0"/>
          <w:caps w:val="0"/>
          <w:smallCaps w:val="0"/>
          <w:noProof w:val="0"/>
          <w:color w:val="000000" w:themeColor="text1" w:themeTint="FF" w:themeShade="FF"/>
          <w:sz w:val="27"/>
          <w:szCs w:val="27"/>
          <w:lang w:val="en-US"/>
        </w:rPr>
        <w:t>‌</w:t>
      </w:r>
    </w:p>
    <w:p w:rsidR="0880C42D" w:rsidP="0880C42D" w:rsidRDefault="0880C42D" w14:paraId="48D32770" w14:textId="2E13F4F0">
      <w:pPr>
        <w:spacing w:before="240" w:beforeAutospacing="off" w:after="240" w:afterAutospacing="off"/>
        <w:jc w:val="left"/>
        <w:rPr>
          <w:rFonts w:ascii="Calibri" w:hAnsi="Calibri" w:eastAsia="Calibri" w:cs="Calibri"/>
          <w:b w:val="0"/>
          <w:bCs w:val="0"/>
          <w:i w:val="0"/>
          <w:iCs w:val="0"/>
          <w:caps w:val="0"/>
          <w:smallCaps w:val="0"/>
          <w:noProof w:val="0"/>
          <w:color w:val="000000" w:themeColor="text1" w:themeTint="FF" w:themeShade="FF"/>
          <w:sz w:val="27"/>
          <w:szCs w:val="27"/>
          <w:lang w:val="en-US"/>
        </w:rPr>
      </w:pPr>
    </w:p>
    <w:p w:rsidR="0880C42D" w:rsidP="0880C42D" w:rsidRDefault="0880C42D" w14:paraId="44542207" w14:textId="6D579876">
      <w:pPr>
        <w:spacing w:before="0" w:beforeAutospacing="off" w:after="0" w:afterAutospacing="off"/>
        <w:ind w:left="720" w:right="0" w:hanging="720"/>
        <w:jc w:val="left"/>
        <w:rPr>
          <w:rFonts w:ascii="Calibri" w:hAnsi="Calibri" w:eastAsia="Calibri" w:cs="Calibri"/>
          <w:b w:val="0"/>
          <w:bCs w:val="0"/>
          <w:i w:val="0"/>
          <w:iCs w:val="0"/>
          <w:caps w:val="0"/>
          <w:smallCaps w:val="0"/>
          <w:noProof w:val="0"/>
          <w:color w:val="000000" w:themeColor="text1" w:themeTint="FF" w:themeShade="FF"/>
          <w:sz w:val="27"/>
          <w:szCs w:val="27"/>
          <w:lang w:val="en-US"/>
        </w:rPr>
      </w:pPr>
    </w:p>
    <w:p w:rsidR="31096ED5" w:rsidP="0880C42D" w:rsidRDefault="31096ED5" w14:paraId="6C94518F" w14:textId="43E38BB9">
      <w:pPr>
        <w:spacing w:before="240" w:beforeAutospacing="off" w:after="24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0880C42D" w:rsidR="31096ED5">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0880C42D" w:rsidP="0880C42D" w:rsidRDefault="0880C42D" w14:paraId="54219577" w14:textId="00EB9C0E">
      <w:pPr>
        <w:spacing w:line="360" w:lineRule="auto"/>
        <w:ind w:firstLine="720"/>
        <w:rPr>
          <w:rFonts w:ascii="Times New Roman" w:hAnsi="Times New Roman"/>
          <w:sz w:val="22"/>
          <w:szCs w:val="22"/>
          <w:lang w:eastAsia="ko-KR"/>
        </w:rPr>
      </w:pPr>
    </w:p>
    <w:p xmlns:wp14="http://schemas.microsoft.com/office/word/2010/wordml" w:rsidRPr="006A2016" w:rsidR="00131055" w:rsidP="006A2016" w:rsidRDefault="00131055" w14:paraId="62486C05" wp14:textId="77777777">
      <w:pPr>
        <w:spacing w:line="360" w:lineRule="auto"/>
        <w:ind w:firstLine="720"/>
        <w:rPr>
          <w:rFonts w:ascii="Times New Roman" w:hAnsi="Times New Roman"/>
          <w:sz w:val="22"/>
          <w:lang w:eastAsia="ko-KR"/>
        </w:rPr>
      </w:pPr>
    </w:p>
    <w:sectPr w:rsidRPr="006A2016" w:rsidR="00131055" w:rsidSect="00131055">
      <w:headerReference w:type="even" r:id="rId11"/>
      <w:headerReference w:type="default" r:id="rId12"/>
      <w:footerReference w:type="even" r:id="rId13"/>
      <w:footerReference w:type="default" r:id="rId14"/>
      <w:headerReference w:type="first" r:id="rId15"/>
      <w:footerReference w:type="first" r:id="rId16"/>
      <w:pgSz w:w="11900" w:h="16840" w:orient="portrait"/>
      <w:pgMar w:top="1134" w:right="84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071D8B" w:rsidP="00131055" w:rsidRDefault="00071D8B" w14:paraId="4101652C" wp14:textId="77777777">
      <w:pPr>
        <w:spacing w:after="0"/>
      </w:pPr>
      <w:r>
        <w:separator/>
      </w:r>
    </w:p>
  </w:endnote>
  <w:endnote w:type="continuationSeparator" w:id="0">
    <w:p xmlns:wp14="http://schemas.microsoft.com/office/word/2010/wordml" w:rsidR="00071D8B" w:rsidP="00131055" w:rsidRDefault="00071D8B" w14:paraId="4B99056E" wp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E22E57" w:rsidR="00FC7213" w:rsidP="00131055" w:rsidRDefault="00FC7213" w14:paraId="354B57F0" wp14:textId="77777777">
    <w:pPr>
      <w:pStyle w:val="Footer"/>
      <w:jc w:val="right"/>
      <w:rPr>
        <w:rFonts w:ascii="Arial" w:hAnsi="Arial"/>
        <w:sz w:val="18"/>
        <w:szCs w:val="18"/>
      </w:rPr>
    </w:pPr>
    <w:r w:rsidRPr="00E22E57">
      <w:rPr>
        <w:rFonts w:ascii="Arial" w:hAnsi="Arial"/>
        <w:sz w:val="18"/>
        <w:szCs w:val="18"/>
      </w:rPr>
      <w:t xml:space="preserve">Page </w:t>
    </w:r>
    <w:r w:rsidRPr="00E22E57">
      <w:rPr>
        <w:rFonts w:ascii="Arial" w:hAnsi="Arial"/>
        <w:sz w:val="18"/>
        <w:szCs w:val="18"/>
      </w:rPr>
      <w:fldChar w:fldCharType="begin"/>
    </w:r>
    <w:r w:rsidRPr="00E22E57">
      <w:rPr>
        <w:rFonts w:ascii="Arial" w:hAnsi="Arial"/>
        <w:sz w:val="18"/>
        <w:szCs w:val="18"/>
      </w:rPr>
      <w:instrText xml:space="preserve"> PAGE </w:instrText>
    </w:r>
    <w:r w:rsidRPr="00E22E57">
      <w:rPr>
        <w:rFonts w:ascii="Arial" w:hAnsi="Arial"/>
        <w:sz w:val="18"/>
        <w:szCs w:val="18"/>
      </w:rPr>
      <w:fldChar w:fldCharType="separate"/>
    </w:r>
    <w:r>
      <w:rPr>
        <w:rFonts w:ascii="Arial" w:hAnsi="Arial"/>
        <w:noProof/>
        <w:sz w:val="18"/>
        <w:szCs w:val="18"/>
      </w:rPr>
      <w:t>2</w:t>
    </w:r>
    <w:r w:rsidRPr="00E22E57">
      <w:rPr>
        <w:rFonts w:ascii="Arial" w:hAnsi="Arial"/>
        <w:sz w:val="18"/>
        <w:szCs w:val="18"/>
      </w:rPr>
      <w:fldChar w:fldCharType="end"/>
    </w:r>
    <w:r w:rsidRPr="00E22E57">
      <w:rPr>
        <w:rFonts w:ascii="Arial" w:hAnsi="Arial"/>
        <w:sz w:val="18"/>
        <w:szCs w:val="18"/>
      </w:rPr>
      <w:t xml:space="preserve"> of </w:t>
    </w:r>
    <w:r w:rsidRPr="00E22E57">
      <w:rPr>
        <w:rFonts w:ascii="Arial" w:hAnsi="Arial"/>
        <w:sz w:val="18"/>
        <w:szCs w:val="18"/>
      </w:rPr>
      <w:fldChar w:fldCharType="begin"/>
    </w:r>
    <w:r w:rsidRPr="00E22E57">
      <w:rPr>
        <w:rFonts w:ascii="Arial" w:hAnsi="Arial"/>
        <w:sz w:val="18"/>
        <w:szCs w:val="18"/>
      </w:rPr>
      <w:instrText xml:space="preserve"> NUMPAGES </w:instrText>
    </w:r>
    <w:r w:rsidRPr="00E22E57">
      <w:rPr>
        <w:rFonts w:ascii="Arial" w:hAnsi="Arial"/>
        <w:sz w:val="18"/>
        <w:szCs w:val="18"/>
      </w:rPr>
      <w:fldChar w:fldCharType="separate"/>
    </w:r>
    <w:r>
      <w:rPr>
        <w:rFonts w:ascii="Arial" w:hAnsi="Arial"/>
        <w:noProof/>
        <w:sz w:val="18"/>
        <w:szCs w:val="18"/>
      </w:rPr>
      <w:t>3</w:t>
    </w:r>
    <w:r w:rsidRPr="00E22E57">
      <w:rPr>
        <w:rFonts w:ascii="Arial" w:hAnsi="Arial"/>
        <w:sz w:val="18"/>
        <w:szCs w:val="18"/>
      </w:rPr>
      <w:fldChar w:fldCharType="end"/>
    </w:r>
    <w:r>
      <w:rPr>
        <w:rFonts w:ascii="Arial" w:hAnsi="Arial"/>
        <w:sz w:val="18"/>
        <w:szCs w:val="18"/>
      </w:rPr>
      <w:t xml:space="preserve"> | </w:t>
    </w:r>
    <w:r>
      <w:rPr>
        <w:rFonts w:ascii="Arial" w:hAnsi="Arial"/>
        <w:b/>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FE3F83" w:rsidR="00FC7213" w:rsidRDefault="00FC7213" w14:paraId="3BCDD867" wp14:textId="77777777">
    <w:pPr>
      <w:pStyle w:val="Footer"/>
      <w:jc w:val="right"/>
      <w:rPr>
        <w:rFonts w:ascii="Times New Roman" w:hAnsi="Times New Roman"/>
        <w:b/>
        <w:sz w:val="18"/>
        <w:szCs w:val="18"/>
        <w:lang w:eastAsia="ko-KR"/>
      </w:rPr>
    </w:pPr>
    <w:r w:rsidRPr="006A2016">
      <w:rPr>
        <w:rFonts w:ascii="Times New Roman" w:hAnsi="Times New Roman"/>
        <w:b/>
        <w:sz w:val="18"/>
        <w:szCs w:val="18"/>
        <w:lang w:eastAsia="ko-KR"/>
      </w:rPr>
      <w:t>SHASMUN</w:t>
    </w:r>
    <w:r w:rsidR="006C062A">
      <w:rPr>
        <w:rFonts w:ascii="Times New Roman" w:hAnsi="Times New Roman"/>
        <w:b/>
        <w:sz w:val="18"/>
        <w:szCs w:val="18"/>
        <w:lang w:eastAsia="ko-KR"/>
      </w:rPr>
      <w:t xml:space="preserve"> </w:t>
    </w:r>
    <w:r w:rsidR="00F2661E">
      <w:rPr>
        <w:rFonts w:ascii="Times New Roman" w:hAnsi="Times New Roman"/>
        <w:b/>
        <w:sz w:val="18"/>
        <w:szCs w:val="18"/>
        <w:lang w:eastAsia="ko-KR"/>
      </w:rPr>
      <w:t>X</w:t>
    </w:r>
    <w:r w:rsidR="00D41FF2">
      <w:rPr>
        <w:rFonts w:ascii="Times New Roman" w:hAnsi="Times New Roman"/>
        <w:b/>
        <w:sz w:val="18"/>
        <w:szCs w:val="18"/>
        <w:lang w:eastAsia="ko-KR"/>
      </w:rPr>
      <w:t>II</w:t>
    </w:r>
    <w:r w:rsidR="00F2661E">
      <w:rPr>
        <w:rFonts w:ascii="Times New Roman" w:hAnsi="Times New Roman"/>
        <w:b/>
        <w:sz w:val="18"/>
        <w:szCs w:val="18"/>
        <w:lang w:eastAsia="ko-KR"/>
      </w:rPr>
      <w:t>I</w:t>
    </w:r>
    <w:r w:rsidRPr="006A2016" w:rsidR="00332421">
      <w:rPr>
        <w:rFonts w:ascii="Times New Roman" w:hAnsi="Times New Roman"/>
        <w:b/>
        <w:sz w:val="18"/>
        <w:szCs w:val="18"/>
        <w:lang w:eastAsia="ko-KR"/>
      </w:rPr>
      <w:t xml:space="preserve"> Student Officer</w:t>
    </w:r>
    <w:r w:rsidRPr="006A2016">
      <w:rPr>
        <w:rFonts w:ascii="Times New Roman" w:hAnsi="Times New Roman"/>
        <w:sz w:val="18"/>
        <w:szCs w:val="18"/>
      </w:rPr>
      <w:t xml:space="preserve"> </w:t>
    </w:r>
    <w:r w:rsidRPr="006A2016">
      <w:rPr>
        <w:rFonts w:ascii="Times New Roman" w:hAnsi="Times New Roman"/>
        <w:b/>
        <w:sz w:val="18"/>
        <w:szCs w:val="18"/>
      </w:rPr>
      <w:t>Research Report</w:t>
    </w:r>
    <w:r w:rsidRPr="006A2016">
      <w:rPr>
        <w:rFonts w:ascii="Times New Roman" w:hAnsi="Times New Roman"/>
        <w:sz w:val="18"/>
        <w:szCs w:val="18"/>
      </w:rPr>
      <w:t xml:space="preserve"> | Page </w:t>
    </w:r>
    <w:r w:rsidRPr="006A2016">
      <w:rPr>
        <w:rFonts w:ascii="Times New Roman" w:hAnsi="Times New Roman"/>
        <w:sz w:val="18"/>
        <w:szCs w:val="18"/>
      </w:rPr>
      <w:fldChar w:fldCharType="begin"/>
    </w:r>
    <w:r w:rsidRPr="006A2016">
      <w:rPr>
        <w:rFonts w:ascii="Times New Roman" w:hAnsi="Times New Roman"/>
        <w:sz w:val="18"/>
        <w:szCs w:val="18"/>
      </w:rPr>
      <w:instrText xml:space="preserve"> PAGE </w:instrText>
    </w:r>
    <w:r w:rsidRPr="006A2016">
      <w:rPr>
        <w:rFonts w:ascii="Times New Roman" w:hAnsi="Times New Roman"/>
        <w:sz w:val="18"/>
        <w:szCs w:val="18"/>
      </w:rPr>
      <w:fldChar w:fldCharType="separate"/>
    </w:r>
    <w:r w:rsidR="00B619E4">
      <w:rPr>
        <w:rFonts w:ascii="Times New Roman" w:hAnsi="Times New Roman"/>
        <w:noProof/>
        <w:sz w:val="18"/>
        <w:szCs w:val="18"/>
      </w:rPr>
      <w:t>1</w:t>
    </w:r>
    <w:r w:rsidRPr="006A2016">
      <w:rPr>
        <w:rFonts w:ascii="Times New Roman" w:hAnsi="Times New Roman"/>
        <w:sz w:val="18"/>
        <w:szCs w:val="18"/>
      </w:rPr>
      <w:fldChar w:fldCharType="end"/>
    </w:r>
    <w:r w:rsidRPr="006A2016">
      <w:rPr>
        <w:rFonts w:ascii="Times New Roman" w:hAnsi="Times New Roman"/>
        <w:sz w:val="18"/>
        <w:szCs w:val="18"/>
      </w:rPr>
      <w:t xml:space="preserve"> of </w:t>
    </w:r>
    <w:r w:rsidRPr="006A2016">
      <w:rPr>
        <w:rFonts w:ascii="Times New Roman" w:hAnsi="Times New Roman"/>
        <w:sz w:val="18"/>
        <w:szCs w:val="18"/>
      </w:rPr>
      <w:fldChar w:fldCharType="begin"/>
    </w:r>
    <w:r w:rsidRPr="006A2016">
      <w:rPr>
        <w:rFonts w:ascii="Times New Roman" w:hAnsi="Times New Roman"/>
        <w:sz w:val="18"/>
        <w:szCs w:val="18"/>
      </w:rPr>
      <w:instrText xml:space="preserve"> NUMPAGES  </w:instrText>
    </w:r>
    <w:r w:rsidRPr="006A2016">
      <w:rPr>
        <w:rFonts w:ascii="Times New Roman" w:hAnsi="Times New Roman"/>
        <w:sz w:val="18"/>
        <w:szCs w:val="18"/>
      </w:rPr>
      <w:fldChar w:fldCharType="separate"/>
    </w:r>
    <w:r w:rsidR="00B619E4">
      <w:rPr>
        <w:rFonts w:ascii="Times New Roman" w:hAnsi="Times New Roman"/>
        <w:noProof/>
        <w:sz w:val="18"/>
        <w:szCs w:val="18"/>
      </w:rPr>
      <w:t>3</w:t>
    </w:r>
    <w:r w:rsidRPr="006A2016">
      <w:rPr>
        <w:rFonts w:ascii="Times New Roman" w:hAnsi="Times New Roman"/>
        <w:sz w:val="18"/>
        <w:szCs w:val="18"/>
      </w:rPr>
      <w:fldChar w:fldCharType="end"/>
    </w:r>
  </w:p>
  <w:p xmlns:wp14="http://schemas.microsoft.com/office/word/2010/wordml" w:rsidRPr="006A2016" w:rsidR="00FC7213" w:rsidP="00131055" w:rsidRDefault="00FC7213" w14:paraId="0562CB0E" wp14:textId="77777777">
    <w:pPr>
      <w:pStyle w:val="Footer"/>
      <w:ind w:firstLine="720"/>
      <w:rPr>
        <w:rFonts w:ascii="Times New Roman" w:hAnsi="Times New Roman"/>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D120C7" w:rsidRDefault="00D120C7" w14:paraId="4DDBEF00"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071D8B" w:rsidP="00131055" w:rsidRDefault="00071D8B" w14:paraId="3461D779" wp14:textId="77777777">
      <w:pPr>
        <w:spacing w:after="0"/>
      </w:pPr>
      <w:r>
        <w:separator/>
      </w:r>
    </w:p>
  </w:footnote>
  <w:footnote w:type="continuationSeparator" w:id="0">
    <w:p xmlns:wp14="http://schemas.microsoft.com/office/word/2010/wordml" w:rsidR="00071D8B" w:rsidP="00131055" w:rsidRDefault="00071D8B" w14:paraId="3CF2D8B6" wp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E22E57" w:rsidR="00FC7213" w:rsidP="00131055" w:rsidRDefault="00FC7213" w14:paraId="24079938" wp14:textId="77777777">
    <w:pPr>
      <w:pStyle w:val="Header"/>
      <w:jc w:val="right"/>
      <w:rPr>
        <w:rFonts w:ascii="Arial" w:hAnsi="Arial"/>
        <w:bCs/>
        <w:noProof/>
        <w:color w:val="000000"/>
        <w:sz w:val="18"/>
        <w:szCs w:val="18"/>
      </w:rPr>
    </w:pPr>
    <w:r>
      <w:rPr>
        <w:rFonts w:hint="eastAsia" w:ascii="Arial" w:hAnsi="Arial"/>
        <w:b/>
        <w:bCs/>
        <w:noProof/>
        <w:color w:val="000000"/>
        <w:sz w:val="18"/>
        <w:szCs w:val="18"/>
        <w:lang w:eastAsia="ko-KR"/>
      </w:rPr>
      <w:t>Malaysian</w:t>
    </w:r>
    <w:r w:rsidRPr="00E22E57">
      <w:rPr>
        <w:rFonts w:ascii="Arial" w:hAnsi="Arial"/>
        <w:b/>
        <w:bCs/>
        <w:noProof/>
        <w:color w:val="000000"/>
        <w:sz w:val="18"/>
        <w:szCs w:val="18"/>
      </w:rPr>
      <w:t xml:space="preserve"> Model United Nations</w:t>
    </w:r>
  </w:p>
  <w:p xmlns:wp14="http://schemas.microsoft.com/office/word/2010/wordml" w:rsidRPr="00FD01CE" w:rsidR="00FC7213" w:rsidP="00131055" w:rsidRDefault="00FC7213" w14:paraId="0FB78278" wp14:textId="77777777">
    <w:pPr>
      <w:pStyle w:val="Header"/>
      <w:rPr>
        <w:color w:val="008000"/>
        <w:sz w:val="18"/>
        <w:szCs w:val="18"/>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F2661E" w:rsidR="00D252ED" w:rsidP="00D252ED" w:rsidRDefault="00FC7213" w14:paraId="4F28FA05" wp14:textId="77777777">
    <w:pPr>
      <w:pStyle w:val="Header"/>
      <w:jc w:val="right"/>
      <w:rPr>
        <w:rFonts w:ascii="Times New Roman" w:hAnsi="Times New Roman"/>
        <w:b/>
        <w:bCs/>
        <w:noProof/>
        <w:color w:val="548DD4"/>
        <w:sz w:val="18"/>
        <w:szCs w:val="18"/>
      </w:rPr>
    </w:pPr>
    <w:r w:rsidRPr="006A2016">
      <w:rPr>
        <w:rFonts w:ascii="Times New Roman" w:hAnsi="Times New Roman"/>
        <w:b/>
        <w:bCs/>
        <w:noProof/>
        <w:color w:val="000000"/>
        <w:sz w:val="18"/>
        <w:szCs w:val="18"/>
        <w:lang w:eastAsia="ko-KR"/>
      </w:rPr>
      <w:t>Shanghai American School Pudong</w:t>
    </w:r>
    <w:r w:rsidRPr="006A2016">
      <w:rPr>
        <w:rFonts w:ascii="Times New Roman" w:hAnsi="Times New Roman"/>
        <w:b/>
        <w:bCs/>
        <w:noProof/>
        <w:color w:val="000000"/>
        <w:sz w:val="18"/>
        <w:szCs w:val="18"/>
      </w:rPr>
      <w:t xml:space="preserve"> Model United Nations </w:t>
    </w:r>
    <w:r w:rsidRPr="006A2016">
      <w:rPr>
        <w:rFonts w:ascii="Times New Roman" w:hAnsi="Times New Roman"/>
        <w:b/>
        <w:bCs/>
        <w:noProof/>
        <w:color w:val="548DD4"/>
        <w:sz w:val="18"/>
        <w:szCs w:val="18"/>
      </w:rPr>
      <w:t>2</w:t>
    </w:r>
    <w:r w:rsidR="00A06737">
      <w:rPr>
        <w:rFonts w:ascii="Times New Roman" w:hAnsi="Times New Roman"/>
        <w:b/>
        <w:bCs/>
        <w:noProof/>
        <w:color w:val="548DD4"/>
        <w:sz w:val="18"/>
        <w:szCs w:val="18"/>
      </w:rPr>
      <w:t>026</w:t>
    </w:r>
  </w:p>
  <w:p xmlns:wp14="http://schemas.microsoft.com/office/word/2010/wordml" w:rsidRPr="006A2016" w:rsidR="00FC7213" w:rsidP="00D120C7" w:rsidRDefault="00FC7213" w14:paraId="1299C43A" wp14:textId="77777777">
    <w:pPr>
      <w:pStyle w:val="Header"/>
      <w:jc w:val="right"/>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D120C7" w:rsidRDefault="00D120C7" w14:paraId="1FC39945" wp14:textId="77777777">
    <w:pPr>
      <w:pStyle w:val="Header"/>
    </w:pPr>
  </w:p>
</w:hdr>
</file>

<file path=word/intelligence2.xml><?xml version="1.0" encoding="utf-8"?>
<int2:intelligence xmlns:int2="http://schemas.microsoft.com/office/intelligence/2020/intelligence">
  <int2:observations>
    <int2:bookmark int2:bookmarkName="_Int_WmBdIMsP" int2:invalidationBookmarkName="" int2:hashCode="rtRkee4jOjt7RX" int2:id="7agwTkWJ">
      <int2:state int2:type="gram" int2:value="Rejected"/>
    </int2:bookmark>
    <int2:bookmark int2:bookmarkName="_Int_hEXmqIyQ" int2:invalidationBookmarkName="" int2:hashCode="SozwgAeWEmC+RG" int2:id="93vQZd7j">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C76FC9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7B386F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4DAB8C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8C01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8A814D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CE66F0C"/>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F7F2B774"/>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A258A718"/>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F9AE5120"/>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CAF6BD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C9E02B4"/>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D094C8E"/>
    <w:multiLevelType w:val="hybridMultilevel"/>
    <w:tmpl w:val="624ED92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19A44D46"/>
    <w:multiLevelType w:val="hybridMultilevel"/>
    <w:tmpl w:val="D4CC1C1A"/>
    <w:lvl w:ilvl="0" w:tplc="59BA8EE0">
      <w:numFmt w:val="bullet"/>
      <w:lvlText w:val="-"/>
      <w:lvlJc w:val="left"/>
      <w:pPr>
        <w:ind w:left="720" w:hanging="360"/>
      </w:pPr>
      <w:rPr>
        <w:rFonts w:hint="default" w:ascii="Cambria" w:hAnsi="Cambria" w:eastAsia="Malgun Gothic"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49F165D"/>
    <w:multiLevelType w:val="hybridMultilevel"/>
    <w:tmpl w:val="254056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0182A82"/>
    <w:multiLevelType w:val="hybridMultilevel"/>
    <w:tmpl w:val="F7FAED6E"/>
    <w:lvl w:ilvl="0" w:tplc="2688A0B0">
      <w:start w:val="1"/>
      <w:numFmt w:val="bullet"/>
      <w:lvlText w:val=""/>
      <w:lvlJc w:val="left"/>
      <w:pPr>
        <w:ind w:left="720" w:hanging="360"/>
      </w:pPr>
      <w:rPr>
        <w:rFonts w:hint="default" w:ascii="Symbol" w:hAnsi="Symbol"/>
        <w:color w:val="8064A2"/>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2AC0B74"/>
    <w:multiLevelType w:val="hybridMultilevel"/>
    <w:tmpl w:val="1116F608"/>
    <w:lvl w:ilvl="0" w:tplc="8F6ED1A4">
      <w:start w:val="1"/>
      <w:numFmt w:val="bullet"/>
      <w:lvlText w:val=""/>
      <w:lvlJc w:val="left"/>
      <w:pPr>
        <w:ind w:left="720" w:hanging="360"/>
      </w:pPr>
      <w:rPr>
        <w:rFonts w:hint="default" w:ascii="Symbol" w:hAnsi="Symbol"/>
        <w:color w:val="E47D16"/>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A4C5929"/>
    <w:multiLevelType w:val="multilevel"/>
    <w:tmpl w:val="1116F608"/>
    <w:lvl w:ilvl="0">
      <w:start w:val="1"/>
      <w:numFmt w:val="bullet"/>
      <w:lvlText w:val=""/>
      <w:lvlJc w:val="left"/>
      <w:pPr>
        <w:ind w:left="720" w:hanging="360"/>
      </w:pPr>
      <w:rPr>
        <w:rFonts w:hint="default" w:ascii="Symbol" w:hAnsi="Symbol"/>
        <w:color w:val="E47D16"/>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65AE18FA"/>
    <w:multiLevelType w:val="multilevel"/>
    <w:tmpl w:val="EE5E336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7B315E70"/>
    <w:multiLevelType w:val="multilevel"/>
    <w:tmpl w:val="E904C066"/>
    <w:lvl w:ilvl="0">
      <w:start w:val="1"/>
      <w:numFmt w:val="bullet"/>
      <w:lvlText w:val=""/>
      <w:lvlJc w:val="left"/>
      <w:pPr>
        <w:ind w:left="720" w:hanging="360"/>
      </w:pPr>
      <w:rPr>
        <w:rFonts w:hint="default" w:ascii="Symbol" w:hAnsi="Symbol"/>
        <w:color w:val="7D0B63"/>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21979621">
    <w:abstractNumId w:val="15"/>
  </w:num>
  <w:num w:numId="2" w16cid:durableId="1693409149">
    <w:abstractNumId w:val="16"/>
  </w:num>
  <w:num w:numId="3" w16cid:durableId="2096702465">
    <w:abstractNumId w:val="14"/>
  </w:num>
  <w:num w:numId="4" w16cid:durableId="1650136373">
    <w:abstractNumId w:val="17"/>
  </w:num>
  <w:num w:numId="5" w16cid:durableId="1494643873">
    <w:abstractNumId w:val="10"/>
  </w:num>
  <w:num w:numId="6" w16cid:durableId="331565334">
    <w:abstractNumId w:val="8"/>
  </w:num>
  <w:num w:numId="7" w16cid:durableId="400759811">
    <w:abstractNumId w:val="7"/>
  </w:num>
  <w:num w:numId="8" w16cid:durableId="1399746677">
    <w:abstractNumId w:val="6"/>
  </w:num>
  <w:num w:numId="9" w16cid:durableId="2125491664">
    <w:abstractNumId w:val="5"/>
  </w:num>
  <w:num w:numId="10" w16cid:durableId="603004741">
    <w:abstractNumId w:val="9"/>
  </w:num>
  <w:num w:numId="11" w16cid:durableId="1121804377">
    <w:abstractNumId w:val="4"/>
  </w:num>
  <w:num w:numId="12" w16cid:durableId="1967157469">
    <w:abstractNumId w:val="3"/>
  </w:num>
  <w:num w:numId="13" w16cid:durableId="668100898">
    <w:abstractNumId w:val="2"/>
  </w:num>
  <w:num w:numId="14" w16cid:durableId="86537953">
    <w:abstractNumId w:val="1"/>
  </w:num>
  <w:num w:numId="15" w16cid:durableId="1433862748">
    <w:abstractNumId w:val="18"/>
  </w:num>
  <w:num w:numId="16" w16cid:durableId="774908127">
    <w:abstractNumId w:val="13"/>
  </w:num>
  <w:num w:numId="17" w16cid:durableId="449474356">
    <w:abstractNumId w:val="0"/>
  </w:num>
  <w:num w:numId="18" w16cid:durableId="1937128706">
    <w:abstractNumId w:val="11"/>
  </w:num>
  <w:num w:numId="19" w16cid:durableId="76002805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4"/>
  <w:bordersDoNotSurroundHeader/>
  <w:bordersDoNotSurroundFooter/>
  <w:proofState w:spelling="clean" w:grammar="dirty"/>
  <w:attachedTemplate r:id="rId1"/>
  <w:stylePaneSortMethod w:val="0000"/>
  <w:trackRevisions w:val="false"/>
  <w:defaultTabStop w:val="720"/>
  <w:drawingGridHorizontalSpacing w:val="120"/>
  <w:drawingGridVerticalSpacing w:val="360"/>
  <w:displayHorizontalDrawingGridEvery w:val="0"/>
  <w:displayVerticalDrawingGridEvery w:val="0"/>
  <w:characterSpacingControl w:val="doNotCompress"/>
  <w:hdrShapeDefaults>
    <o:shapedefaults v:ext="edit" spidmax="2050" strokecolor="#4a7ebb">
      <v:stroke weight="3.5pt" color="#4a7ebb"/>
      <v:shadow on="t" opacity="22938f" offset="0"/>
      <v:textbox inset=",7.2pt,,7.2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16"/>
    <w:rsid w:val="000040E0"/>
    <w:rsid w:val="000377B1"/>
    <w:rsid w:val="00071D8B"/>
    <w:rsid w:val="0007724B"/>
    <w:rsid w:val="00091E33"/>
    <w:rsid w:val="000E4944"/>
    <w:rsid w:val="00120AF9"/>
    <w:rsid w:val="00131055"/>
    <w:rsid w:val="00131E09"/>
    <w:rsid w:val="0014505B"/>
    <w:rsid w:val="0015059C"/>
    <w:rsid w:val="00187933"/>
    <w:rsid w:val="001B0119"/>
    <w:rsid w:val="00275638"/>
    <w:rsid w:val="002819C3"/>
    <w:rsid w:val="002D2EC9"/>
    <w:rsid w:val="002D656D"/>
    <w:rsid w:val="002E4365"/>
    <w:rsid w:val="00316448"/>
    <w:rsid w:val="00332421"/>
    <w:rsid w:val="00345F60"/>
    <w:rsid w:val="003B2664"/>
    <w:rsid w:val="003B4CE3"/>
    <w:rsid w:val="003C6EDD"/>
    <w:rsid w:val="003D1AC1"/>
    <w:rsid w:val="003D3FB4"/>
    <w:rsid w:val="003D6B12"/>
    <w:rsid w:val="003FAEDC"/>
    <w:rsid w:val="00400141"/>
    <w:rsid w:val="00432EE7"/>
    <w:rsid w:val="00466BF1"/>
    <w:rsid w:val="004D7898"/>
    <w:rsid w:val="004E05B6"/>
    <w:rsid w:val="00520EAE"/>
    <w:rsid w:val="00530BBA"/>
    <w:rsid w:val="005373B7"/>
    <w:rsid w:val="00570BDC"/>
    <w:rsid w:val="00584395"/>
    <w:rsid w:val="005958F6"/>
    <w:rsid w:val="005B353E"/>
    <w:rsid w:val="005F6D73"/>
    <w:rsid w:val="00620718"/>
    <w:rsid w:val="00636127"/>
    <w:rsid w:val="006648F5"/>
    <w:rsid w:val="00685818"/>
    <w:rsid w:val="00696BE0"/>
    <w:rsid w:val="006A2016"/>
    <w:rsid w:val="006A64C0"/>
    <w:rsid w:val="006C062A"/>
    <w:rsid w:val="006D0C3B"/>
    <w:rsid w:val="006E2D89"/>
    <w:rsid w:val="006E74E5"/>
    <w:rsid w:val="007D5074"/>
    <w:rsid w:val="00800EC1"/>
    <w:rsid w:val="00801EE2"/>
    <w:rsid w:val="00870FEC"/>
    <w:rsid w:val="0087176A"/>
    <w:rsid w:val="00892AA4"/>
    <w:rsid w:val="00896FF4"/>
    <w:rsid w:val="008E7BBA"/>
    <w:rsid w:val="008F3B91"/>
    <w:rsid w:val="009114B4"/>
    <w:rsid w:val="00941884"/>
    <w:rsid w:val="00991ACE"/>
    <w:rsid w:val="009E0B3E"/>
    <w:rsid w:val="009F5855"/>
    <w:rsid w:val="009F5CA3"/>
    <w:rsid w:val="00A06737"/>
    <w:rsid w:val="00A15FDC"/>
    <w:rsid w:val="00A32FA3"/>
    <w:rsid w:val="00A64A1F"/>
    <w:rsid w:val="00A8615E"/>
    <w:rsid w:val="00AB28D9"/>
    <w:rsid w:val="00AE77B5"/>
    <w:rsid w:val="00AF3D31"/>
    <w:rsid w:val="00AF4749"/>
    <w:rsid w:val="00B378D8"/>
    <w:rsid w:val="00B52F18"/>
    <w:rsid w:val="00B619E4"/>
    <w:rsid w:val="00B94693"/>
    <w:rsid w:val="00BA77FB"/>
    <w:rsid w:val="00C2354C"/>
    <w:rsid w:val="00C3702B"/>
    <w:rsid w:val="00C433F8"/>
    <w:rsid w:val="00CE6969"/>
    <w:rsid w:val="00D120C7"/>
    <w:rsid w:val="00D252ED"/>
    <w:rsid w:val="00D41FF2"/>
    <w:rsid w:val="00D438DA"/>
    <w:rsid w:val="00DE456D"/>
    <w:rsid w:val="00DE7183"/>
    <w:rsid w:val="00E42FEC"/>
    <w:rsid w:val="00E45305"/>
    <w:rsid w:val="00E500F0"/>
    <w:rsid w:val="00E62FC5"/>
    <w:rsid w:val="00E94123"/>
    <w:rsid w:val="00EA75C1"/>
    <w:rsid w:val="00EE68F4"/>
    <w:rsid w:val="00F017AC"/>
    <w:rsid w:val="00F2661E"/>
    <w:rsid w:val="00FC7213"/>
    <w:rsid w:val="00FE3F83"/>
    <w:rsid w:val="01CCE61D"/>
    <w:rsid w:val="02DDB57F"/>
    <w:rsid w:val="036874D0"/>
    <w:rsid w:val="03A923A6"/>
    <w:rsid w:val="03F21E4D"/>
    <w:rsid w:val="045D3CAC"/>
    <w:rsid w:val="054475A0"/>
    <w:rsid w:val="057B8F7E"/>
    <w:rsid w:val="0746A623"/>
    <w:rsid w:val="083A5621"/>
    <w:rsid w:val="0880C42D"/>
    <w:rsid w:val="08B7435E"/>
    <w:rsid w:val="0AA7B4BA"/>
    <w:rsid w:val="0B5024EF"/>
    <w:rsid w:val="0FA56252"/>
    <w:rsid w:val="115B8C9B"/>
    <w:rsid w:val="116BF6C9"/>
    <w:rsid w:val="12D8C60C"/>
    <w:rsid w:val="1343445C"/>
    <w:rsid w:val="14DE722D"/>
    <w:rsid w:val="154E0A0E"/>
    <w:rsid w:val="158C218B"/>
    <w:rsid w:val="15A8EF77"/>
    <w:rsid w:val="15EC115B"/>
    <w:rsid w:val="162EF1C6"/>
    <w:rsid w:val="167E6050"/>
    <w:rsid w:val="176E47F4"/>
    <w:rsid w:val="1798CCB2"/>
    <w:rsid w:val="18F92BB8"/>
    <w:rsid w:val="1AAAE911"/>
    <w:rsid w:val="1ACEA14D"/>
    <w:rsid w:val="1E9B5DAD"/>
    <w:rsid w:val="1F654D6C"/>
    <w:rsid w:val="1FD4CEF8"/>
    <w:rsid w:val="20AA79F8"/>
    <w:rsid w:val="21CF9C6C"/>
    <w:rsid w:val="232DA1D5"/>
    <w:rsid w:val="2334CE12"/>
    <w:rsid w:val="236BD362"/>
    <w:rsid w:val="23F34E82"/>
    <w:rsid w:val="2612F5BC"/>
    <w:rsid w:val="26D3116D"/>
    <w:rsid w:val="271BBCD2"/>
    <w:rsid w:val="27F98300"/>
    <w:rsid w:val="284FDE00"/>
    <w:rsid w:val="28FE519C"/>
    <w:rsid w:val="29C13A8E"/>
    <w:rsid w:val="2A92357D"/>
    <w:rsid w:val="2BCFA477"/>
    <w:rsid w:val="2DB70F09"/>
    <w:rsid w:val="2DDDED89"/>
    <w:rsid w:val="30F5F778"/>
    <w:rsid w:val="31096ED5"/>
    <w:rsid w:val="33AB8EAA"/>
    <w:rsid w:val="342A658F"/>
    <w:rsid w:val="34363B75"/>
    <w:rsid w:val="35E0E895"/>
    <w:rsid w:val="35E18548"/>
    <w:rsid w:val="35E4685A"/>
    <w:rsid w:val="36380ED7"/>
    <w:rsid w:val="37EFBD73"/>
    <w:rsid w:val="380FE55B"/>
    <w:rsid w:val="38E73BA9"/>
    <w:rsid w:val="398EB894"/>
    <w:rsid w:val="3A3232B7"/>
    <w:rsid w:val="3C9AC6B1"/>
    <w:rsid w:val="3D08CBD1"/>
    <w:rsid w:val="44E84B47"/>
    <w:rsid w:val="45413578"/>
    <w:rsid w:val="4550DF0F"/>
    <w:rsid w:val="48BE7D83"/>
    <w:rsid w:val="48C5D23F"/>
    <w:rsid w:val="4970F98A"/>
    <w:rsid w:val="4AA35384"/>
    <w:rsid w:val="4BF188E8"/>
    <w:rsid w:val="4C68940E"/>
    <w:rsid w:val="4D6A67BA"/>
    <w:rsid w:val="4EE6AB0B"/>
    <w:rsid w:val="4EF68734"/>
    <w:rsid w:val="4FCDCC2F"/>
    <w:rsid w:val="4FE1341A"/>
    <w:rsid w:val="50186D22"/>
    <w:rsid w:val="51DCF3DF"/>
    <w:rsid w:val="51FA0716"/>
    <w:rsid w:val="523BF4C2"/>
    <w:rsid w:val="52C0C484"/>
    <w:rsid w:val="55D40732"/>
    <w:rsid w:val="5644D13C"/>
    <w:rsid w:val="5792A1FE"/>
    <w:rsid w:val="5A1BE024"/>
    <w:rsid w:val="5AC9E337"/>
    <w:rsid w:val="5D25DB6F"/>
    <w:rsid w:val="5F8A2182"/>
    <w:rsid w:val="6117E98F"/>
    <w:rsid w:val="618B1948"/>
    <w:rsid w:val="62432555"/>
    <w:rsid w:val="644F6FF5"/>
    <w:rsid w:val="699D7DFC"/>
    <w:rsid w:val="6B42EEE3"/>
    <w:rsid w:val="6BC28084"/>
    <w:rsid w:val="6BFAD92E"/>
    <w:rsid w:val="6C8AFE67"/>
    <w:rsid w:val="6FB1C0B9"/>
    <w:rsid w:val="706ED754"/>
    <w:rsid w:val="71D2AD5A"/>
    <w:rsid w:val="71E1F2F0"/>
    <w:rsid w:val="7270870D"/>
    <w:rsid w:val="72E26CDB"/>
    <w:rsid w:val="734FC155"/>
    <w:rsid w:val="738B43E0"/>
    <w:rsid w:val="74759F1A"/>
    <w:rsid w:val="77140EFD"/>
    <w:rsid w:val="7714B91D"/>
    <w:rsid w:val="78755A30"/>
    <w:rsid w:val="7957FF65"/>
    <w:rsid w:val="79801B67"/>
    <w:rsid w:val="7C5E6FF4"/>
    <w:rsid w:val="7F1A0F29"/>
    <w:rsid w:val="7FCB9893"/>
    <w:rsid w:val="7FEA7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4a7ebb">
      <v:stroke weight="3.5pt" color="#4a7ebb"/>
      <v:shadow on="t" opacity="22938f" offset="0"/>
      <v:textbox inset=",7.2pt,,7.2pt"/>
    </o:shapedefaults>
    <o:shapelayout v:ext="edit">
      <o:idmap v:ext="edit" data="2"/>
    </o:shapelayout>
  </w:shapeDefaults>
  <w:decimalSymbol w:val="."/>
  <w:listSeparator w:val=","/>
  <w14:docId w14:val="4E5870BD"/>
  <w14:defaultImageDpi w14:val="300"/>
  <w15:chartTrackingRefBased/>
  <w15:docId w15:val="{1EACF1E4-F2F6-471C-868F-2A60BFAB36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Malgun Gothic"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99" w:semiHidden="1" w:unhideWhenUsed="1"/>
  </w:latentStyles>
  <w:style w:type="paragraph" w:styleId="Normal" w:default="1">
    <w:name w:val="Normal"/>
    <w:qFormat/>
    <w:rsid w:val="005B285C"/>
    <w:pPr>
      <w:spacing w:after="200"/>
    </w:pPr>
    <w:rPr>
      <w:sz w:val="24"/>
      <w:szCs w:val="24"/>
      <w:lang w:eastAsia="en-US"/>
    </w:rPr>
  </w:style>
  <w:style w:type="character" w:styleId="DefaultParagraphFont" w:default="1">
    <w:name w:val="Default Paragraph Font"/>
    <w:semiHidden/>
    <w:unhideWhenUsed/>
  </w:style>
  <w:style w:type="table" w:styleId="TableNormal" w:default="1">
    <w:name w:val="Normal Table"/>
    <w:semiHidden/>
    <w:unhideWhenUsed/>
    <w:qFormat/>
    <w:tblPr>
      <w:tblInd w:w="0" w:type="dxa"/>
      <w:tblCellMar>
        <w:top w:w="0" w:type="dxa"/>
        <w:left w:w="108" w:type="dxa"/>
        <w:bottom w:w="0" w:type="dxa"/>
        <w:right w:w="108" w:type="dxa"/>
      </w:tblCellMar>
    </w:tblPr>
  </w:style>
  <w:style w:type="numbering" w:styleId="NoList" w:default="1">
    <w:name w:val="No List"/>
    <w:semiHidden/>
    <w:unhideWhenUsed/>
  </w:style>
  <w:style w:type="paragraph" w:styleId="Header">
    <w:name w:val="header"/>
    <w:basedOn w:val="Normal"/>
    <w:link w:val="HeaderChar"/>
    <w:uiPriority w:val="99"/>
    <w:unhideWhenUsed/>
    <w:rsid w:val="00470140"/>
    <w:pPr>
      <w:tabs>
        <w:tab w:val="center" w:pos="4320"/>
        <w:tab w:val="right" w:pos="8640"/>
      </w:tabs>
      <w:spacing w:after="0"/>
    </w:pPr>
  </w:style>
  <w:style w:type="character" w:styleId="HeaderChar" w:customStyle="1">
    <w:name w:val="Header Char"/>
    <w:basedOn w:val="DefaultParagraphFont"/>
    <w:link w:val="Header"/>
    <w:uiPriority w:val="99"/>
    <w:rsid w:val="00470140"/>
  </w:style>
  <w:style w:type="paragraph" w:styleId="Footer">
    <w:name w:val="footer"/>
    <w:basedOn w:val="Normal"/>
    <w:link w:val="FooterChar"/>
    <w:uiPriority w:val="99"/>
    <w:unhideWhenUsed/>
    <w:rsid w:val="00470140"/>
    <w:pPr>
      <w:tabs>
        <w:tab w:val="center" w:pos="4320"/>
        <w:tab w:val="right" w:pos="8640"/>
      </w:tabs>
      <w:spacing w:after="0"/>
    </w:pPr>
  </w:style>
  <w:style w:type="character" w:styleId="FooterChar" w:customStyle="1">
    <w:name w:val="Footer Char"/>
    <w:basedOn w:val="DefaultParagraphFont"/>
    <w:link w:val="Footer"/>
    <w:uiPriority w:val="99"/>
    <w:rsid w:val="00470140"/>
  </w:style>
  <w:style w:type="table" w:styleId="TableGrid">
    <w:name w:val="Table Grid"/>
    <w:basedOn w:val="TableNormal"/>
    <w:uiPriority w:val="1"/>
    <w:rsid w:val="00470140"/>
    <w:rPr>
      <w:rFonts w:eastAsia="SimSu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rsid w:val="006520A8"/>
    <w:rPr>
      <w:color w:val="0000FF"/>
      <w:u w:val="single"/>
    </w:rPr>
  </w:style>
  <w:style w:type="table" w:styleId="LightShading-Accent11" w:customStyle="1">
    <w:name w:val="Light Shading - Accent 11"/>
    <w:basedOn w:val="TableNormal"/>
    <w:uiPriority w:val="60"/>
    <w:rsid w:val="00AC45BD"/>
    <w:rPr>
      <w:rFonts w:eastAsia="SimSun"/>
      <w:color w:val="365F91"/>
      <w:sz w:val="22"/>
      <w:szCs w:val="22"/>
      <w:lang w:eastAsia="zh-TW"/>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1" w:customStyle="1">
    <w:name w:val="목록 단락1"/>
    <w:basedOn w:val="Normal"/>
    <w:rsid w:val="000856C0"/>
    <w:pPr>
      <w:ind w:left="720"/>
      <w:contextualSpacing/>
    </w:pPr>
  </w:style>
  <w:style w:type="paragraph" w:styleId="BalloonText">
    <w:name w:val="Balloon Text"/>
    <w:basedOn w:val="Normal"/>
    <w:link w:val="BalloonTextChar"/>
    <w:rsid w:val="00171595"/>
    <w:pPr>
      <w:spacing w:after="0"/>
    </w:pPr>
    <w:rPr>
      <w:rFonts w:ascii="Tahoma" w:hAnsi="Tahoma"/>
      <w:sz w:val="16"/>
      <w:szCs w:val="16"/>
      <w:lang w:val="x-none" w:eastAsia="x-none"/>
    </w:rPr>
  </w:style>
  <w:style w:type="character" w:styleId="BalloonTextChar" w:customStyle="1">
    <w:name w:val="Balloon Text Char"/>
    <w:link w:val="BalloonText"/>
    <w:rsid w:val="00171595"/>
    <w:rPr>
      <w:rFonts w:ascii="Tahoma" w:hAnsi="Tahoma" w:cs="Tahoma"/>
      <w:sz w:val="16"/>
      <w:szCs w:val="16"/>
    </w:rPr>
  </w:style>
  <w:style w:type="paragraph" w:styleId="DocumentMap">
    <w:name w:val="Document Map"/>
    <w:basedOn w:val="Normal"/>
    <w:link w:val="DocumentMapChar"/>
    <w:rsid w:val="00D43AF1"/>
    <w:pPr>
      <w:spacing w:after="0"/>
    </w:pPr>
    <w:rPr>
      <w:rFonts w:ascii="Tahoma" w:hAnsi="Tahoma"/>
      <w:sz w:val="16"/>
      <w:szCs w:val="16"/>
      <w:lang w:val="x-none" w:eastAsia="x-none"/>
    </w:rPr>
  </w:style>
  <w:style w:type="character" w:styleId="DocumentMapChar" w:customStyle="1">
    <w:name w:val="Document Map Char"/>
    <w:link w:val="DocumentMap"/>
    <w:rsid w:val="00D43AF1"/>
    <w:rPr>
      <w:rFonts w:ascii="Tahoma" w:hAnsi="Tahoma" w:cs="Tahoma"/>
      <w:sz w:val="16"/>
      <w:szCs w:val="16"/>
    </w:rPr>
  </w:style>
  <w:style w:type="paragraph" w:styleId="SectionTitle" w:customStyle="1">
    <w:name w:val="Section Title"/>
    <w:basedOn w:val="Normal"/>
    <w:qFormat/>
    <w:rsid w:val="002F5A3E"/>
    <w:pPr>
      <w:spacing w:line="360" w:lineRule="auto"/>
      <w:outlineLvl w:val="0"/>
    </w:pPr>
    <w:rPr>
      <w:rFonts w:ascii="Arial" w:hAnsi="Arial"/>
      <w:b/>
      <w:color w:val="7D0B63"/>
      <w:sz w:val="28"/>
    </w:rPr>
  </w:style>
  <w:style w:type="paragraph" w:styleId="TextofResearchReport" w:customStyle="1">
    <w:name w:val="Text of Research Report"/>
    <w:basedOn w:val="Normal"/>
    <w:qFormat/>
    <w:rsid w:val="002F5A3E"/>
    <w:pPr>
      <w:spacing w:line="360" w:lineRule="auto"/>
      <w:ind w:firstLine="720"/>
    </w:pPr>
    <w:rPr>
      <w:rFonts w:ascii="Arial" w:hAnsi="Arial"/>
      <w:sz w:val="22"/>
    </w:rPr>
  </w:style>
  <w:style w:type="paragraph" w:styleId="Sub-headingofResearchReport" w:customStyle="1">
    <w:name w:val="Sub-heading of Research Report"/>
    <w:basedOn w:val="Normal"/>
    <w:qFormat/>
    <w:rsid w:val="002F5A3E"/>
    <w:pPr>
      <w:tabs>
        <w:tab w:val="left" w:pos="8336"/>
      </w:tabs>
      <w:spacing w:line="360" w:lineRule="auto"/>
      <w:outlineLvl w:val="0"/>
    </w:pPr>
    <w:rPr>
      <w:rFonts w:ascii="Arial" w:hAnsi="Arial"/>
      <w:b/>
      <w:color w:val="7D0B63"/>
      <w:sz w:val="22"/>
    </w:rPr>
  </w:style>
  <w:style w:type="paragraph" w:styleId="Sub-sub-headingofResearchReport" w:customStyle="1">
    <w:name w:val="Sub-sub-heading of Research Report"/>
    <w:basedOn w:val="Normal"/>
    <w:qFormat/>
    <w:rsid w:val="002F5A3E"/>
    <w:pPr>
      <w:spacing w:line="360" w:lineRule="auto"/>
      <w:outlineLvl w:val="0"/>
    </w:pPr>
    <w:rPr>
      <w:rFonts w:ascii="Arial" w:hAnsi="Arial"/>
      <w:b/>
      <w:i/>
      <w:color w:val="7D0B63"/>
      <w:sz w:val="22"/>
    </w:rPr>
  </w:style>
  <w:style w:type="paragraph" w:styleId="KeyTerm" w:customStyle="1">
    <w:name w:val="Key Term"/>
    <w:basedOn w:val="Normal"/>
    <w:qFormat/>
    <w:rsid w:val="002F5A3E"/>
    <w:pPr>
      <w:spacing w:line="360" w:lineRule="auto"/>
      <w:outlineLvl w:val="0"/>
    </w:pPr>
    <w:rPr>
      <w:rFonts w:ascii="Arial" w:hAnsi="Arial"/>
      <w:b/>
      <w:sz w:val="22"/>
    </w:rPr>
  </w:style>
  <w:style w:type="paragraph" w:styleId="TextunderneathSub-sub-heading" w:customStyle="1">
    <w:name w:val="Text underneath Sub-sub-heading"/>
    <w:basedOn w:val="Normal"/>
    <w:qFormat/>
    <w:rsid w:val="002F5A3E"/>
    <w:pPr>
      <w:spacing w:line="360" w:lineRule="auto"/>
      <w:ind w:left="720"/>
    </w:pPr>
    <w:rPr>
      <w:rFonts w:ascii="Arial" w:hAnsi="Arial"/>
      <w:sz w:val="22"/>
    </w:rPr>
  </w:style>
  <w:style w:type="character" w:styleId="FollowedHyperlink">
    <w:name w:val="FollowedHyperlink"/>
    <w:rsid w:val="00914F62"/>
    <w:rPr>
      <w:color w:val="800080"/>
      <w:u w:val="single"/>
    </w:rPr>
  </w:style>
  <w:style w:type="character" w:styleId="CommentReference">
    <w:name w:val="annotation reference"/>
    <w:rsid w:val="009114B4"/>
    <w:rPr>
      <w:sz w:val="16"/>
      <w:szCs w:val="16"/>
    </w:rPr>
  </w:style>
  <w:style w:type="paragraph" w:styleId="CommentText">
    <w:name w:val="annotation text"/>
    <w:basedOn w:val="Normal"/>
    <w:link w:val="CommentTextChar"/>
    <w:rsid w:val="009114B4"/>
    <w:rPr>
      <w:sz w:val="20"/>
      <w:szCs w:val="20"/>
    </w:rPr>
  </w:style>
  <w:style w:type="character" w:styleId="CommentTextChar" w:customStyle="1">
    <w:name w:val="Comment Text Char"/>
    <w:link w:val="CommentText"/>
    <w:rsid w:val="009114B4"/>
    <w:rPr>
      <w:lang w:eastAsia="en-US"/>
    </w:rPr>
  </w:style>
  <w:style w:type="paragraph" w:styleId="CommentSubject">
    <w:name w:val="annotation subject"/>
    <w:basedOn w:val="CommentText"/>
    <w:next w:val="CommentText"/>
    <w:link w:val="CommentSubjectChar"/>
    <w:rsid w:val="009114B4"/>
    <w:rPr>
      <w:b/>
      <w:bCs/>
    </w:rPr>
  </w:style>
  <w:style w:type="character" w:styleId="CommentSubjectChar" w:customStyle="1">
    <w:name w:val="Comment Subject Char"/>
    <w:link w:val="CommentSubject"/>
    <w:rsid w:val="009114B4"/>
    <w:rPr>
      <w:b/>
      <w:bCs/>
      <w:lang w:eastAsia="en-US"/>
    </w:rPr>
  </w:style>
  <w:style w:type="paragraph" w:styleId="Revision">
    <w:name w:val="Revision"/>
    <w:hidden/>
    <w:uiPriority w:val="71"/>
    <w:rsid w:val="000040E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relyOnVML/>
  <w:allowPNG/>
  <w:pixelsPerInch w:val="72"/>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settings" Target="settings.xml" Id="rId4" /><Relationship Type="http://schemas.openxmlformats.org/officeDocument/2006/relationships/footer" Target="footer2.xml" Id="rId14" /><Relationship Type="http://schemas.openxmlformats.org/officeDocument/2006/relationships/image" Target="/media/image.png" Id="rId1600209186" /><Relationship Type="http://schemas.openxmlformats.org/officeDocument/2006/relationships/hyperlink" Target="https://www.amnesty.org/en/documents/act30/3544/2021/en/" TargetMode="External" Id="R47be16b709d34964" /><Relationship Type="http://schemas.openxmlformats.org/officeDocument/2006/relationships/hyperlink" Target="https://eur-lex.europa.eu/eli/reg/2023/1542/oj/eng" TargetMode="External" Id="R61c83f96fab34f95" /><Relationship Type="http://schemas.openxmlformats.org/officeDocument/2006/relationships/hyperlink" Target="https://eiti.org/standards" TargetMode="External" Id="R3915ab156fc1469a" /><Relationship Type="http://schemas.openxmlformats.org/officeDocument/2006/relationships/hyperlink" Target="https://www.g7utoronto.ca/environment/2023-critical-minerals.html" TargetMode="External" Id="Rb87676a4012b42ee" /><Relationship Type="http://schemas.openxmlformats.org/officeDocument/2006/relationships/hyperlink" Target="https://www.iea.org/reports/the-role-of-critical-minerals-in-clean-energy-transitions" TargetMode="External" Id="R4b044dabcaee41ef" /><Relationship Type="http://schemas.openxmlformats.org/officeDocument/2006/relationships/hyperlink" Target="https://www.iea.org/reports/world-energy-outlook-2025" TargetMode="External" Id="R7f88c18b7b0d45dc" /><Relationship Type="http://schemas.openxmlformats.org/officeDocument/2006/relationships/hyperlink" Target="https://www.oecd.org/mining/due-diligence-guidance/" TargetMode="External" Id="R6b0bbef6e6ba44fa" /><Relationship Type="http://schemas.openxmlformats.org/officeDocument/2006/relationships/hyperlink" Target="https://www.ohchr.org/en/publications" TargetMode="External" Id="R261e1db697b14974" /><Relationship Type="http://schemas.openxmlformats.org/officeDocument/2006/relationships/hyperlink" Target="https://www.energy.gov/ira" TargetMode="External" Id="R2de433c78bfb41df" /><Relationship Type="http://schemas.openxmlformats.org/officeDocument/2006/relationships/hyperlink" Target="https://www.worldbank.org/en/topic/extractiveindustries" TargetMode="External" Id="Rcda88bcaaf4140d9" /><Relationship Type="http://schemas.openxmlformats.org/officeDocument/2006/relationships/hyperlink" Target="https://www.cheddar.com/media/evs-gobble-up-rare-earth-minerals-as-miners-struggle-to-keep-up/" TargetMode="External" Id="R205235435e4a4daa" /><Relationship Type="http://schemas.openxmlformats.org/officeDocument/2006/relationships/hyperlink" Target="https://cwee.ucdavis.edu/about/water-energy-nexus/" TargetMode="External" Id="R3b225ed342654ede" /><Relationship Type="http://schemas.openxmlformats.org/officeDocument/2006/relationships/hyperlink" Target="https://www.unep.org/topics/energy/renewable-energy/critical-energy-transition-minerals" TargetMode="External" Id="R9b722e3ff1c84a3a" /><Relationship Type="http://schemas.openxmlformats.org/officeDocument/2006/relationships/hyperlink" Target="https://eumena.org/critical-minerals" TargetMode="External" Id="Rb6d40841517c476a" /><Relationship Type="http://schemas.microsoft.com/office/2020/10/relationships/intelligence" Target="intelligence2.xml" Id="R7bf4fb99e8ca4677" /></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Nur:Downloads:MYMUN%20Research%20Report%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9248A-1174-DB47-9123-B087F1FEC6F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MYMUN Research Report 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Forum:</dc:title>
  <dc:subject/>
  <dc:creator>Nur</dc:creator>
  <keywords/>
  <lastModifiedBy>Choi; Rachel (Euiyoon)</lastModifiedBy>
  <revision>8</revision>
  <lastPrinted>2009-08-20T03:00:00.0000000Z</lastPrinted>
  <dcterms:created xsi:type="dcterms:W3CDTF">2026-01-19T11:03:00.0000000Z</dcterms:created>
  <dcterms:modified xsi:type="dcterms:W3CDTF">2026-01-23T07:26:30.4922756Z</dcterms:modified>
</coreProperties>
</file>